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673E5" w14:textId="2170909F" w:rsidR="004B5CC8" w:rsidRPr="00AE2300" w:rsidRDefault="00AE2300" w:rsidP="00AE2300">
      <w:pPr>
        <w:jc w:val="center"/>
        <w:rPr>
          <w:rFonts w:ascii="Times New Roman" w:hAnsi="Times New Roman" w:cs="Times New Roman"/>
          <w:b/>
          <w:bCs/>
          <w:sz w:val="28"/>
          <w:szCs w:val="28"/>
        </w:rPr>
      </w:pPr>
      <w:r w:rsidRPr="00AE2300">
        <w:rPr>
          <w:rFonts w:ascii="Times New Roman" w:hAnsi="Times New Roman" w:cs="Times New Roman"/>
          <w:b/>
          <w:bCs/>
          <w:sz w:val="28"/>
          <w:szCs w:val="28"/>
        </w:rPr>
        <w:t xml:space="preserve">Малое и среднее предпринимательство </w:t>
      </w:r>
    </w:p>
    <w:p w14:paraId="4F3BD127" w14:textId="77777777" w:rsidR="00AE2300" w:rsidRPr="00D75DF7" w:rsidRDefault="00AE2300" w:rsidP="00AE2300">
      <w:pPr>
        <w:shd w:val="clear" w:color="auto" w:fill="FFFFFF"/>
        <w:spacing w:after="0" w:line="240" w:lineRule="auto"/>
        <w:ind w:firstLine="708"/>
        <w:jc w:val="both"/>
        <w:rPr>
          <w:rFonts w:ascii="Times New Roman" w:hAnsi="Times New Roman" w:cs="Times New Roman"/>
          <w:sz w:val="24"/>
          <w:szCs w:val="24"/>
        </w:rPr>
      </w:pPr>
      <w:r w:rsidRPr="00D75DF7">
        <w:rPr>
          <w:rFonts w:ascii="Times New Roman" w:hAnsi="Times New Roman" w:cs="Times New Roman"/>
          <w:sz w:val="24"/>
          <w:szCs w:val="24"/>
        </w:rPr>
        <w:t>Система поддержки малого и среднего предпринимательства в районе реализуется в соответствии с положениями федерального и регионального законодательства и муниципальной программой   муниципального образования «Муниципальный округ Кезский район Удмуртской Республики» «Создание условий для устойчивого экономического развития на 2022-2025 годы».</w:t>
      </w:r>
      <w:r w:rsidRPr="00D75DF7">
        <w:rPr>
          <w:rFonts w:ascii="yandex-sans" w:eastAsia="Times New Roman" w:hAnsi="yandex-sans" w:cs="Times New Roman"/>
          <w:sz w:val="26"/>
          <w:szCs w:val="26"/>
        </w:rPr>
        <w:t xml:space="preserve"> </w:t>
      </w:r>
    </w:p>
    <w:p w14:paraId="44D3B795" w14:textId="77777777" w:rsidR="00AE2300" w:rsidRPr="00D75DF7" w:rsidRDefault="00AE2300" w:rsidP="00AE2300">
      <w:pPr>
        <w:pStyle w:val="a3"/>
        <w:jc w:val="both"/>
        <w:rPr>
          <w:rFonts w:ascii="Times New Roman" w:eastAsia="Times New Roman" w:hAnsi="Times New Roman" w:cs="Times New Roman"/>
          <w:sz w:val="24"/>
          <w:szCs w:val="24"/>
        </w:rPr>
      </w:pPr>
      <w:r w:rsidRPr="00D75DF7">
        <w:rPr>
          <w:rFonts w:ascii="Times New Roman" w:hAnsi="Times New Roman" w:cs="Times New Roman"/>
          <w:sz w:val="24"/>
          <w:szCs w:val="24"/>
        </w:rPr>
        <w:t xml:space="preserve">   </w:t>
      </w:r>
      <w:r w:rsidRPr="00D75DF7">
        <w:rPr>
          <w:rFonts w:ascii="Times New Roman" w:hAnsi="Times New Roman" w:cs="Times New Roman"/>
          <w:sz w:val="24"/>
          <w:szCs w:val="24"/>
        </w:rPr>
        <w:tab/>
        <w:t xml:space="preserve">По данным налоговой службы на 1 января 2023 года на территории района зарегистрировано </w:t>
      </w:r>
      <w:r w:rsidRPr="00D75DF7">
        <w:rPr>
          <w:rFonts w:ascii="Times New Roman" w:eastAsia="Times New Roman" w:hAnsi="Times New Roman" w:cs="Times New Roman"/>
          <w:sz w:val="24"/>
          <w:szCs w:val="24"/>
        </w:rPr>
        <w:t>173 предприяти</w:t>
      </w:r>
      <w:r w:rsidRPr="00D75DF7">
        <w:rPr>
          <w:rFonts w:ascii="Times New Roman" w:hAnsi="Times New Roman" w:cs="Times New Roman"/>
          <w:sz w:val="24"/>
          <w:szCs w:val="24"/>
        </w:rPr>
        <w:t>й</w:t>
      </w:r>
      <w:r w:rsidRPr="00D75DF7">
        <w:rPr>
          <w:rFonts w:ascii="Times New Roman" w:eastAsia="Times New Roman" w:hAnsi="Times New Roman" w:cs="Times New Roman"/>
          <w:sz w:val="24"/>
          <w:szCs w:val="24"/>
        </w:rPr>
        <w:t xml:space="preserve"> и организаци</w:t>
      </w:r>
      <w:r w:rsidRPr="00D75DF7">
        <w:rPr>
          <w:rFonts w:ascii="Times New Roman" w:hAnsi="Times New Roman" w:cs="Times New Roman"/>
          <w:sz w:val="24"/>
          <w:szCs w:val="24"/>
        </w:rPr>
        <w:t>й</w:t>
      </w:r>
      <w:r w:rsidRPr="00D75DF7">
        <w:rPr>
          <w:rFonts w:ascii="Times New Roman" w:eastAsia="Times New Roman" w:hAnsi="Times New Roman" w:cs="Times New Roman"/>
          <w:sz w:val="24"/>
          <w:szCs w:val="24"/>
        </w:rPr>
        <w:t xml:space="preserve"> всех форм собственности и хозяйствования (2021 год – 178 предприятий).  Из общего числа хозяйствующих субъектов 4   отнесены к средним предприятиям, 16 – к малым, 45 – к микропредприятиям (2021 год – 6 средних , 15 малых и 45 микро).</w:t>
      </w:r>
    </w:p>
    <w:p w14:paraId="0936B6FC" w14:textId="77777777" w:rsidR="00AE2300" w:rsidRPr="00D75DF7" w:rsidRDefault="00AE2300" w:rsidP="00AE2300">
      <w:pPr>
        <w:pStyle w:val="a3"/>
        <w:jc w:val="both"/>
        <w:rPr>
          <w:rFonts w:ascii="Times New Roman" w:hAnsi="Times New Roman" w:cs="Times New Roman"/>
          <w:sz w:val="24"/>
          <w:szCs w:val="24"/>
        </w:rPr>
      </w:pPr>
      <w:r w:rsidRPr="00D75DF7">
        <w:rPr>
          <w:rFonts w:eastAsia="Times New Roman"/>
        </w:rPr>
        <w:tab/>
      </w:r>
      <w:r w:rsidRPr="00D75DF7">
        <w:rPr>
          <w:rFonts w:ascii="Times New Roman" w:eastAsia="Times New Roman" w:hAnsi="Times New Roman" w:cs="Times New Roman"/>
          <w:sz w:val="24"/>
          <w:szCs w:val="24"/>
        </w:rPr>
        <w:t>Общее количество субъектов МСП на 01.01.2023 года составило 3</w:t>
      </w:r>
      <w:r>
        <w:rPr>
          <w:rFonts w:ascii="Times New Roman" w:eastAsia="Times New Roman" w:hAnsi="Times New Roman" w:cs="Times New Roman"/>
          <w:sz w:val="24"/>
          <w:szCs w:val="24"/>
        </w:rPr>
        <w:t>39</w:t>
      </w:r>
      <w:r w:rsidRPr="00D75DF7">
        <w:rPr>
          <w:rFonts w:ascii="Times New Roman" w:eastAsia="Times New Roman" w:hAnsi="Times New Roman" w:cs="Times New Roman"/>
          <w:sz w:val="24"/>
          <w:szCs w:val="24"/>
        </w:rPr>
        <w:t xml:space="preserve"> единиц, это ниже показателей 2021 года на 1</w:t>
      </w:r>
      <w:r>
        <w:rPr>
          <w:rFonts w:ascii="Times New Roman" w:eastAsia="Times New Roman" w:hAnsi="Times New Roman" w:cs="Times New Roman"/>
          <w:sz w:val="24"/>
          <w:szCs w:val="24"/>
        </w:rPr>
        <w:t>8</w:t>
      </w:r>
      <w:r w:rsidRPr="00D75DF7">
        <w:rPr>
          <w:rFonts w:ascii="Times New Roman" w:eastAsia="Times New Roman" w:hAnsi="Times New Roman" w:cs="Times New Roman"/>
          <w:sz w:val="24"/>
          <w:szCs w:val="24"/>
        </w:rPr>
        <w:t xml:space="preserve"> единиц.  </w:t>
      </w:r>
      <w:r w:rsidRPr="00D75DF7">
        <w:rPr>
          <w:rFonts w:ascii="Times New Roman" w:hAnsi="Times New Roman" w:cs="Times New Roman"/>
          <w:sz w:val="24"/>
          <w:szCs w:val="24"/>
        </w:rPr>
        <w:t xml:space="preserve">В районе насчитывается </w:t>
      </w:r>
      <w:r w:rsidRPr="00D75DF7">
        <w:rPr>
          <w:rFonts w:ascii="Times New Roman" w:eastAsia="Times New Roman" w:hAnsi="Times New Roman" w:cs="Times New Roman"/>
          <w:sz w:val="24"/>
          <w:szCs w:val="24"/>
        </w:rPr>
        <w:t>27</w:t>
      </w:r>
      <w:r>
        <w:rPr>
          <w:rFonts w:ascii="Times New Roman" w:eastAsia="Times New Roman" w:hAnsi="Times New Roman" w:cs="Times New Roman"/>
          <w:sz w:val="24"/>
          <w:szCs w:val="24"/>
        </w:rPr>
        <w:t>4</w:t>
      </w:r>
      <w:r w:rsidRPr="00D75DF7">
        <w:rPr>
          <w:rFonts w:ascii="Times New Roman" w:eastAsia="Times New Roman" w:hAnsi="Times New Roman" w:cs="Times New Roman"/>
          <w:sz w:val="24"/>
          <w:szCs w:val="24"/>
        </w:rPr>
        <w:t xml:space="preserve"> индивидуальных предпринимателей, снижение к уровню прошлого года на 1</w:t>
      </w:r>
      <w:r>
        <w:rPr>
          <w:rFonts w:ascii="Times New Roman" w:eastAsia="Times New Roman" w:hAnsi="Times New Roman" w:cs="Times New Roman"/>
          <w:sz w:val="24"/>
          <w:szCs w:val="24"/>
        </w:rPr>
        <w:t>7</w:t>
      </w:r>
      <w:r w:rsidRPr="00D75DF7">
        <w:rPr>
          <w:rFonts w:ascii="Times New Roman" w:eastAsia="Times New Roman" w:hAnsi="Times New Roman" w:cs="Times New Roman"/>
          <w:sz w:val="24"/>
          <w:szCs w:val="24"/>
        </w:rPr>
        <w:t xml:space="preserve"> единиц (на 01.01.2022 года - 291). Индивидуальные предприниматели заняты в основном в сфере торговли, в строительстве, в предоставлении услуг такси и грузоперевозок, заготовке и переработке леса. Снижение количества ИП произошло за счет перехода субъектов, осуществляющих бытовые услуги (парикмахеры, производство столярных изделий, автосервисы) на самозанятость. Общее количество зарегистрированных самозанятых на территории Кезского района (с начала введения режима самозанятости с июля 2020 года) по состоянию на 01.01.2023 – 529, </w:t>
      </w:r>
    </w:p>
    <w:p w14:paraId="13168B96" w14:textId="77777777" w:rsidR="00AE2300" w:rsidRPr="00D75DF7" w:rsidRDefault="00AE2300" w:rsidP="00AE2300">
      <w:pPr>
        <w:pStyle w:val="a3"/>
        <w:jc w:val="both"/>
        <w:rPr>
          <w:rFonts w:ascii="Times New Roman" w:eastAsia="Times New Roman" w:hAnsi="Times New Roman" w:cs="Times New Roman"/>
          <w:sz w:val="24"/>
          <w:szCs w:val="24"/>
        </w:rPr>
      </w:pPr>
      <w:r w:rsidRPr="00D75DF7">
        <w:rPr>
          <w:rFonts w:ascii="Times New Roman" w:hAnsi="Times New Roman" w:cs="Times New Roman"/>
          <w:sz w:val="24"/>
          <w:szCs w:val="24"/>
        </w:rPr>
        <w:t>из них 235 зарегистрированы в отчетном периоде.</w:t>
      </w:r>
      <w:r w:rsidRPr="00D75DF7">
        <w:rPr>
          <w:rFonts w:ascii="Times New Roman" w:eastAsia="Times New Roman" w:hAnsi="Times New Roman" w:cs="Times New Roman"/>
          <w:sz w:val="24"/>
          <w:szCs w:val="24"/>
        </w:rPr>
        <w:t xml:space="preserve"> </w:t>
      </w:r>
    </w:p>
    <w:p w14:paraId="62F5A925" w14:textId="77777777" w:rsidR="00AE2300" w:rsidRPr="00D75DF7" w:rsidRDefault="00AE2300" w:rsidP="00AE2300">
      <w:pPr>
        <w:pStyle w:val="a3"/>
        <w:ind w:firstLine="708"/>
        <w:jc w:val="both"/>
        <w:rPr>
          <w:rFonts w:ascii="Times New Roman" w:hAnsi="Times New Roman" w:cs="Times New Roman"/>
          <w:sz w:val="24"/>
          <w:szCs w:val="24"/>
        </w:rPr>
      </w:pPr>
      <w:r w:rsidRPr="00D75DF7">
        <w:rPr>
          <w:rFonts w:ascii="Times New Roman" w:hAnsi="Times New Roman" w:cs="Times New Roman"/>
          <w:sz w:val="24"/>
          <w:szCs w:val="24"/>
        </w:rPr>
        <w:t xml:space="preserve">Ежегодно наблюдается отрицательная динамика численности работников. Среднесписочная численность работников у субъектов малого и среднего предпринимательства  2556 человек (2021 год – 2814 человек), в том числе на  микро и малых предприятиях 1082 человек (2021 год  -1069 человек), на средних предприятиях 472 человек (2021 год - 655 человек). </w:t>
      </w:r>
    </w:p>
    <w:p w14:paraId="0566DE5D" w14:textId="77777777" w:rsidR="00AE2300" w:rsidRPr="00D75DF7" w:rsidRDefault="00AE2300" w:rsidP="00AE2300">
      <w:pPr>
        <w:shd w:val="clear" w:color="auto" w:fill="FFFFFF"/>
        <w:spacing w:after="0" w:line="240" w:lineRule="auto"/>
        <w:ind w:firstLine="708"/>
        <w:jc w:val="both"/>
        <w:rPr>
          <w:rFonts w:ascii="YS Text" w:eastAsia="Times New Roman" w:hAnsi="YS Text" w:cs="Times New Roman"/>
          <w:sz w:val="23"/>
          <w:szCs w:val="23"/>
        </w:rPr>
      </w:pPr>
      <w:r w:rsidRPr="00D75DF7">
        <w:rPr>
          <w:rFonts w:ascii="YS Text" w:eastAsia="Times New Roman" w:hAnsi="YS Text" w:cs="Times New Roman"/>
          <w:sz w:val="23"/>
          <w:szCs w:val="23"/>
        </w:rPr>
        <w:t>Часть продавцов освоили онлайн-торговлю и настроили свои технологические процессы на доставку товаров на дом, работы на «вынос». С 2020 года предприниматели района начали регистрироваться на маркетплейсах.</w:t>
      </w:r>
    </w:p>
    <w:p w14:paraId="566D5B2B" w14:textId="77777777" w:rsidR="00AE2300" w:rsidRPr="00D75DF7" w:rsidRDefault="00AE2300" w:rsidP="00AE2300">
      <w:pPr>
        <w:pStyle w:val="a3"/>
        <w:ind w:firstLine="708"/>
        <w:jc w:val="both"/>
        <w:rPr>
          <w:rFonts w:ascii="Times New Roman" w:eastAsia="Times New Roman" w:hAnsi="Times New Roman" w:cs="Times New Roman"/>
          <w:sz w:val="24"/>
          <w:szCs w:val="24"/>
        </w:rPr>
      </w:pPr>
      <w:r w:rsidRPr="00D75DF7">
        <w:rPr>
          <w:rFonts w:ascii="Times New Roman" w:eastAsia="Times New Roman" w:hAnsi="Times New Roman" w:cs="Times New Roman"/>
          <w:sz w:val="24"/>
          <w:szCs w:val="24"/>
        </w:rPr>
        <w:t xml:space="preserve">К уже существующему пункту выдачи товара </w:t>
      </w:r>
      <w:proofErr w:type="spellStart"/>
      <w:r w:rsidRPr="00D75DF7">
        <w:rPr>
          <w:rFonts w:ascii="Times New Roman" w:eastAsia="Times New Roman" w:hAnsi="Times New Roman" w:cs="Times New Roman"/>
          <w:sz w:val="24"/>
          <w:szCs w:val="24"/>
        </w:rPr>
        <w:t>Wildberries</w:t>
      </w:r>
      <w:proofErr w:type="spellEnd"/>
      <w:r w:rsidRPr="00D75DF7">
        <w:rPr>
          <w:rFonts w:ascii="Times New Roman" w:eastAsia="Times New Roman" w:hAnsi="Times New Roman" w:cs="Times New Roman"/>
          <w:sz w:val="24"/>
          <w:szCs w:val="24"/>
        </w:rPr>
        <w:t xml:space="preserve"> в поселке Кез в 2022 году открылось еще 2 новых пункта (OZON, </w:t>
      </w:r>
      <w:proofErr w:type="spellStart"/>
      <w:r w:rsidRPr="00D75DF7">
        <w:rPr>
          <w:rFonts w:ascii="Times New Roman" w:eastAsia="Times New Roman" w:hAnsi="Times New Roman" w:cs="Times New Roman"/>
          <w:sz w:val="24"/>
          <w:szCs w:val="24"/>
        </w:rPr>
        <w:t>Wildberries</w:t>
      </w:r>
      <w:proofErr w:type="spellEnd"/>
      <w:r w:rsidRPr="00D75DF7">
        <w:rPr>
          <w:rFonts w:ascii="Times New Roman" w:eastAsia="Times New Roman" w:hAnsi="Times New Roman" w:cs="Times New Roman"/>
          <w:sz w:val="24"/>
          <w:szCs w:val="24"/>
        </w:rPr>
        <w:t xml:space="preserve">). </w:t>
      </w:r>
    </w:p>
    <w:p w14:paraId="3C4F621A" w14:textId="77777777" w:rsidR="00AE2300" w:rsidRPr="00D75DF7" w:rsidRDefault="00AE2300" w:rsidP="00AE2300">
      <w:pPr>
        <w:pStyle w:val="a3"/>
        <w:ind w:firstLine="708"/>
        <w:jc w:val="both"/>
        <w:rPr>
          <w:rFonts w:ascii="Times New Roman" w:eastAsia="Times New Roman" w:hAnsi="Times New Roman" w:cs="Times New Roman"/>
          <w:sz w:val="24"/>
          <w:szCs w:val="24"/>
        </w:rPr>
      </w:pPr>
      <w:r w:rsidRPr="00D75DF7">
        <w:rPr>
          <w:rFonts w:ascii="Times New Roman" w:eastAsia="Times New Roman" w:hAnsi="Times New Roman" w:cs="Times New Roman"/>
          <w:sz w:val="24"/>
          <w:szCs w:val="24"/>
        </w:rPr>
        <w:t xml:space="preserve">1 субъект малого предпринимательства реализует экспортные проекты – осуществляет поставку производимого товара в рамках заключенных контрактов. </w:t>
      </w:r>
    </w:p>
    <w:p w14:paraId="4C736559" w14:textId="77777777" w:rsidR="00AE2300" w:rsidRPr="00D75DF7" w:rsidRDefault="00AE2300" w:rsidP="00AE2300">
      <w:pPr>
        <w:pStyle w:val="a3"/>
        <w:ind w:firstLine="708"/>
        <w:jc w:val="both"/>
        <w:rPr>
          <w:rFonts w:ascii="Times New Roman" w:eastAsia="Times New Roman" w:hAnsi="Times New Roman" w:cs="Times New Roman"/>
          <w:sz w:val="24"/>
          <w:szCs w:val="24"/>
        </w:rPr>
      </w:pPr>
      <w:r w:rsidRPr="00D75DF7">
        <w:rPr>
          <w:rFonts w:ascii="Times New Roman" w:eastAsia="Times New Roman" w:hAnsi="Times New Roman" w:cs="Times New Roman"/>
          <w:sz w:val="24"/>
          <w:szCs w:val="24"/>
        </w:rPr>
        <w:t>Из всей имеющейся в районе торговой площади почти 70% или 10882 кв.м. принадлежит субъектам малого и среднего предпринимательства.</w:t>
      </w:r>
    </w:p>
    <w:p w14:paraId="0203E260" w14:textId="77777777" w:rsidR="00AE2300" w:rsidRPr="00D75DF7" w:rsidRDefault="00AE2300" w:rsidP="00AE2300">
      <w:pPr>
        <w:pStyle w:val="a3"/>
        <w:jc w:val="both"/>
        <w:rPr>
          <w:rFonts w:ascii="Times New Roman" w:eastAsia="Times New Roman" w:hAnsi="Times New Roman" w:cs="Times New Roman"/>
          <w:sz w:val="24"/>
          <w:szCs w:val="24"/>
        </w:rPr>
      </w:pPr>
      <w:r w:rsidRPr="00D75DF7">
        <w:rPr>
          <w:rFonts w:ascii="Times New Roman" w:hAnsi="Times New Roman" w:cs="Times New Roman"/>
          <w:bCs/>
          <w:sz w:val="24"/>
          <w:szCs w:val="24"/>
        </w:rPr>
        <w:t xml:space="preserve">      </w:t>
      </w:r>
      <w:r w:rsidRPr="00D75DF7">
        <w:rPr>
          <w:rFonts w:ascii="Times New Roman" w:hAnsi="Times New Roman" w:cs="Times New Roman"/>
          <w:bCs/>
          <w:sz w:val="24"/>
          <w:szCs w:val="24"/>
        </w:rPr>
        <w:tab/>
      </w:r>
      <w:r w:rsidRPr="00D75DF7">
        <w:rPr>
          <w:rFonts w:ascii="Times New Roman" w:eastAsia="Times New Roman" w:hAnsi="Times New Roman" w:cs="Times New Roman"/>
          <w:sz w:val="24"/>
          <w:szCs w:val="24"/>
        </w:rPr>
        <w:t xml:space="preserve">За 2022 год в бюджет муниципального образования «Муниципальный округ Кезский район Удмуртской Республики» поступило 54712,3 тыс. руб. (2021 </w:t>
      </w:r>
      <w:proofErr w:type="gramStart"/>
      <w:r w:rsidRPr="00D75DF7">
        <w:rPr>
          <w:rFonts w:ascii="Times New Roman" w:eastAsia="Times New Roman" w:hAnsi="Times New Roman" w:cs="Times New Roman"/>
          <w:sz w:val="24"/>
          <w:szCs w:val="24"/>
        </w:rPr>
        <w:t>год  –</w:t>
      </w:r>
      <w:proofErr w:type="gramEnd"/>
      <w:r w:rsidRPr="00D75DF7">
        <w:rPr>
          <w:rFonts w:ascii="Times New Roman" w:eastAsia="Times New Roman" w:hAnsi="Times New Roman" w:cs="Times New Roman"/>
          <w:sz w:val="24"/>
          <w:szCs w:val="24"/>
        </w:rPr>
        <w:t xml:space="preserve"> 45017,7 тыс. руб.) доходов на совокупный налог, что больше  по сравнению с аналогичным периодом 2021года на 21,5% или на 9694,6 тыс. руб. (см. таблицу).      </w:t>
      </w:r>
    </w:p>
    <w:p w14:paraId="6A102496" w14:textId="77777777" w:rsidR="00AE2300" w:rsidRPr="00D75DF7" w:rsidRDefault="00AE2300" w:rsidP="00AE2300">
      <w:pPr>
        <w:pStyle w:val="a3"/>
        <w:jc w:val="center"/>
        <w:rPr>
          <w:rFonts w:ascii="Times New Roman" w:eastAsia="Times New Roman" w:hAnsi="Times New Roman" w:cs="Times New Roman"/>
          <w:sz w:val="24"/>
          <w:szCs w:val="24"/>
        </w:rPr>
      </w:pPr>
    </w:p>
    <w:p w14:paraId="085872AD" w14:textId="77777777" w:rsidR="00AE2300" w:rsidRPr="00D75DF7" w:rsidRDefault="00AE2300" w:rsidP="00AE2300">
      <w:pPr>
        <w:pStyle w:val="a3"/>
        <w:jc w:val="center"/>
        <w:rPr>
          <w:rFonts w:ascii="Times New Roman" w:hAnsi="Times New Roman" w:cs="Times New Roman"/>
          <w:b/>
          <w:bCs/>
          <w:sz w:val="24"/>
          <w:szCs w:val="24"/>
        </w:rPr>
      </w:pPr>
      <w:r w:rsidRPr="00D75DF7">
        <w:rPr>
          <w:rFonts w:ascii="Times New Roman" w:hAnsi="Times New Roman" w:cs="Times New Roman"/>
          <w:bCs/>
          <w:sz w:val="24"/>
          <w:szCs w:val="24"/>
        </w:rPr>
        <w:t xml:space="preserve"> </w:t>
      </w:r>
      <w:r w:rsidRPr="00D75DF7">
        <w:rPr>
          <w:rFonts w:ascii="Times New Roman" w:hAnsi="Times New Roman" w:cs="Times New Roman"/>
          <w:b/>
          <w:bCs/>
          <w:sz w:val="24"/>
          <w:szCs w:val="24"/>
        </w:rPr>
        <w:t>Налоговые поступления</w:t>
      </w:r>
    </w:p>
    <w:p w14:paraId="44341BB5" w14:textId="77777777" w:rsidR="00AE2300" w:rsidRPr="00D75DF7" w:rsidRDefault="00AE2300" w:rsidP="00AE2300">
      <w:pPr>
        <w:pStyle w:val="a3"/>
        <w:jc w:val="center"/>
        <w:rPr>
          <w:rFonts w:ascii="Times New Roman" w:hAnsi="Times New Roman" w:cs="Times New Roman"/>
          <w:b/>
          <w:bCs/>
          <w:sz w:val="24"/>
          <w:szCs w:val="24"/>
        </w:rPr>
      </w:pPr>
      <w:r w:rsidRPr="00D75DF7">
        <w:rPr>
          <w:rFonts w:ascii="Times New Roman" w:hAnsi="Times New Roman" w:cs="Times New Roman"/>
          <w:b/>
          <w:bCs/>
          <w:sz w:val="24"/>
          <w:szCs w:val="24"/>
        </w:rPr>
        <w:t>от субъектов малого и среднего предпринимательства (</w:t>
      </w:r>
      <w:proofErr w:type="spellStart"/>
      <w:r w:rsidRPr="00D75DF7">
        <w:rPr>
          <w:rFonts w:ascii="Times New Roman" w:hAnsi="Times New Roman" w:cs="Times New Roman"/>
          <w:b/>
          <w:bCs/>
          <w:sz w:val="24"/>
          <w:szCs w:val="24"/>
        </w:rPr>
        <w:t>тыс.руб</w:t>
      </w:r>
      <w:proofErr w:type="spellEnd"/>
      <w:r w:rsidRPr="00D75DF7">
        <w:rPr>
          <w:rFonts w:ascii="Times New Roman" w:hAnsi="Times New Roman" w:cs="Times New Roman"/>
          <w:b/>
          <w:bCs/>
          <w:sz w:val="24"/>
          <w:szCs w:val="24"/>
        </w:rPr>
        <w:t xml:space="preserve">.)   </w:t>
      </w:r>
    </w:p>
    <w:p w14:paraId="1E17C5D3" w14:textId="77777777" w:rsidR="00AE2300" w:rsidRPr="00D75DF7" w:rsidRDefault="00AE2300" w:rsidP="00AE2300">
      <w:pPr>
        <w:pStyle w:val="a3"/>
        <w:jc w:val="center"/>
        <w:rPr>
          <w:rFonts w:ascii="Times New Roman" w:hAnsi="Times New Roman" w:cs="Times New Roman"/>
          <w:b/>
          <w:bCs/>
          <w:sz w:val="24"/>
          <w:szCs w:val="24"/>
        </w:rPr>
      </w:pPr>
    </w:p>
    <w:tbl>
      <w:tblPr>
        <w:tblW w:w="92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74"/>
        <w:gridCol w:w="1361"/>
        <w:gridCol w:w="1560"/>
        <w:gridCol w:w="1134"/>
      </w:tblGrid>
      <w:tr w:rsidR="00AE2300" w:rsidRPr="00D75DF7" w14:paraId="7C1F1930" w14:textId="77777777" w:rsidTr="00FF6937">
        <w:tc>
          <w:tcPr>
            <w:tcW w:w="3686" w:type="dxa"/>
          </w:tcPr>
          <w:p w14:paraId="110CE5AE"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Вид налога</w:t>
            </w:r>
          </w:p>
        </w:tc>
        <w:tc>
          <w:tcPr>
            <w:tcW w:w="1474" w:type="dxa"/>
          </w:tcPr>
          <w:p w14:paraId="36D3F644"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2021 г.</w:t>
            </w:r>
          </w:p>
        </w:tc>
        <w:tc>
          <w:tcPr>
            <w:tcW w:w="1361" w:type="dxa"/>
          </w:tcPr>
          <w:p w14:paraId="7C9B4F10"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План 2022 год</w:t>
            </w:r>
          </w:p>
        </w:tc>
        <w:tc>
          <w:tcPr>
            <w:tcW w:w="1560" w:type="dxa"/>
          </w:tcPr>
          <w:p w14:paraId="6D351A23"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2022 г.</w:t>
            </w:r>
          </w:p>
        </w:tc>
        <w:tc>
          <w:tcPr>
            <w:tcW w:w="1134" w:type="dxa"/>
          </w:tcPr>
          <w:p w14:paraId="29389E56"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Темп роста, %</w:t>
            </w:r>
          </w:p>
        </w:tc>
      </w:tr>
      <w:tr w:rsidR="00AE2300" w:rsidRPr="00D75DF7" w14:paraId="258DEBDC" w14:textId="77777777" w:rsidTr="00FF6937">
        <w:tc>
          <w:tcPr>
            <w:tcW w:w="3686" w:type="dxa"/>
          </w:tcPr>
          <w:p w14:paraId="50163F5F" w14:textId="77777777" w:rsidR="00AE2300" w:rsidRPr="00D75DF7" w:rsidRDefault="00AE2300" w:rsidP="00FF6937">
            <w:pPr>
              <w:pStyle w:val="a3"/>
              <w:jc w:val="center"/>
              <w:rPr>
                <w:rFonts w:ascii="Times New Roman" w:hAnsi="Times New Roman"/>
                <w:bCs/>
                <w:sz w:val="20"/>
                <w:szCs w:val="20"/>
              </w:rPr>
            </w:pPr>
            <w:r w:rsidRPr="00D75DF7">
              <w:rPr>
                <w:rFonts w:ascii="Times New Roman" w:hAnsi="Times New Roman"/>
                <w:bCs/>
                <w:sz w:val="20"/>
                <w:szCs w:val="20"/>
              </w:rPr>
              <w:t>1</w:t>
            </w:r>
          </w:p>
        </w:tc>
        <w:tc>
          <w:tcPr>
            <w:tcW w:w="1474" w:type="dxa"/>
          </w:tcPr>
          <w:p w14:paraId="0089FFF3" w14:textId="77777777" w:rsidR="00AE2300" w:rsidRPr="00D75DF7" w:rsidRDefault="00AE2300" w:rsidP="00FF6937">
            <w:pPr>
              <w:pStyle w:val="a3"/>
              <w:jc w:val="center"/>
              <w:rPr>
                <w:rFonts w:ascii="Times New Roman" w:hAnsi="Times New Roman"/>
                <w:bCs/>
                <w:sz w:val="20"/>
                <w:szCs w:val="20"/>
              </w:rPr>
            </w:pPr>
            <w:r w:rsidRPr="00D75DF7">
              <w:rPr>
                <w:rFonts w:ascii="Times New Roman" w:hAnsi="Times New Roman"/>
                <w:bCs/>
                <w:sz w:val="20"/>
                <w:szCs w:val="20"/>
              </w:rPr>
              <w:t>2</w:t>
            </w:r>
          </w:p>
        </w:tc>
        <w:tc>
          <w:tcPr>
            <w:tcW w:w="1361" w:type="dxa"/>
          </w:tcPr>
          <w:p w14:paraId="492CB7FC" w14:textId="77777777" w:rsidR="00AE2300" w:rsidRPr="00D75DF7" w:rsidRDefault="00AE2300" w:rsidP="00FF6937">
            <w:pPr>
              <w:pStyle w:val="a3"/>
              <w:jc w:val="center"/>
              <w:rPr>
                <w:rFonts w:ascii="Times New Roman" w:hAnsi="Times New Roman"/>
                <w:bCs/>
                <w:sz w:val="20"/>
                <w:szCs w:val="20"/>
              </w:rPr>
            </w:pPr>
            <w:r w:rsidRPr="00D75DF7">
              <w:rPr>
                <w:rFonts w:ascii="Times New Roman" w:hAnsi="Times New Roman"/>
                <w:bCs/>
                <w:sz w:val="20"/>
                <w:szCs w:val="20"/>
              </w:rPr>
              <w:t>3</w:t>
            </w:r>
          </w:p>
        </w:tc>
        <w:tc>
          <w:tcPr>
            <w:tcW w:w="1560" w:type="dxa"/>
          </w:tcPr>
          <w:p w14:paraId="539B2CEB" w14:textId="77777777" w:rsidR="00AE2300" w:rsidRPr="00D75DF7" w:rsidRDefault="00AE2300" w:rsidP="00FF6937">
            <w:pPr>
              <w:pStyle w:val="a3"/>
              <w:jc w:val="center"/>
              <w:rPr>
                <w:rFonts w:ascii="Times New Roman" w:hAnsi="Times New Roman"/>
                <w:bCs/>
                <w:sz w:val="20"/>
                <w:szCs w:val="20"/>
              </w:rPr>
            </w:pPr>
            <w:r w:rsidRPr="00D75DF7">
              <w:rPr>
                <w:rFonts w:ascii="Times New Roman" w:hAnsi="Times New Roman"/>
                <w:bCs/>
                <w:sz w:val="20"/>
                <w:szCs w:val="20"/>
              </w:rPr>
              <w:t>4</w:t>
            </w:r>
          </w:p>
        </w:tc>
        <w:tc>
          <w:tcPr>
            <w:tcW w:w="1134" w:type="dxa"/>
          </w:tcPr>
          <w:p w14:paraId="031707AB" w14:textId="77777777" w:rsidR="00AE2300" w:rsidRPr="00D75DF7" w:rsidRDefault="00AE2300" w:rsidP="00FF6937">
            <w:pPr>
              <w:pStyle w:val="a3"/>
              <w:jc w:val="center"/>
              <w:rPr>
                <w:rFonts w:ascii="Times New Roman" w:hAnsi="Times New Roman"/>
                <w:bCs/>
                <w:sz w:val="20"/>
                <w:szCs w:val="20"/>
              </w:rPr>
            </w:pPr>
            <w:r w:rsidRPr="00D75DF7">
              <w:rPr>
                <w:rFonts w:ascii="Times New Roman" w:hAnsi="Times New Roman"/>
                <w:bCs/>
                <w:sz w:val="20"/>
                <w:szCs w:val="20"/>
              </w:rPr>
              <w:t>5</w:t>
            </w:r>
          </w:p>
        </w:tc>
      </w:tr>
      <w:tr w:rsidR="00AE2300" w:rsidRPr="00D75DF7" w14:paraId="394236CF" w14:textId="77777777" w:rsidTr="00FF6937">
        <w:tc>
          <w:tcPr>
            <w:tcW w:w="3686" w:type="dxa"/>
          </w:tcPr>
          <w:p w14:paraId="509E2E5D"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НДФЛ</w:t>
            </w:r>
          </w:p>
        </w:tc>
        <w:tc>
          <w:tcPr>
            <w:tcW w:w="1474" w:type="dxa"/>
          </w:tcPr>
          <w:p w14:paraId="5F6595A7"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40186</w:t>
            </w:r>
          </w:p>
        </w:tc>
        <w:tc>
          <w:tcPr>
            <w:tcW w:w="1361" w:type="dxa"/>
          </w:tcPr>
          <w:p w14:paraId="572B08C6"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41999</w:t>
            </w:r>
          </w:p>
        </w:tc>
        <w:tc>
          <w:tcPr>
            <w:tcW w:w="1560" w:type="dxa"/>
          </w:tcPr>
          <w:p w14:paraId="28FC7D5B"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45686,9</w:t>
            </w:r>
          </w:p>
        </w:tc>
        <w:tc>
          <w:tcPr>
            <w:tcW w:w="1134" w:type="dxa"/>
          </w:tcPr>
          <w:p w14:paraId="7961D556"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113,7</w:t>
            </w:r>
          </w:p>
        </w:tc>
      </w:tr>
      <w:tr w:rsidR="00AE2300" w:rsidRPr="00D75DF7" w14:paraId="49C7FE2C" w14:textId="77777777" w:rsidTr="00FF6937">
        <w:tc>
          <w:tcPr>
            <w:tcW w:w="3686" w:type="dxa"/>
          </w:tcPr>
          <w:p w14:paraId="3C3D72B3"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 xml:space="preserve">ЕНВД, УСН </w:t>
            </w:r>
            <w:r w:rsidRPr="00D75DF7">
              <w:rPr>
                <w:rFonts w:ascii="Times New Roman" w:hAnsi="Times New Roman"/>
                <w:bCs/>
                <w:sz w:val="20"/>
                <w:szCs w:val="20"/>
              </w:rPr>
              <w:t>(наша доля 12,78%)</w:t>
            </w:r>
          </w:p>
        </w:tc>
        <w:tc>
          <w:tcPr>
            <w:tcW w:w="1474" w:type="dxa"/>
          </w:tcPr>
          <w:p w14:paraId="1C660C27"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1325,6</w:t>
            </w:r>
          </w:p>
        </w:tc>
        <w:tc>
          <w:tcPr>
            <w:tcW w:w="1361" w:type="dxa"/>
            <w:vAlign w:val="center"/>
          </w:tcPr>
          <w:p w14:paraId="11ED06D1"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5084,2</w:t>
            </w:r>
          </w:p>
        </w:tc>
        <w:tc>
          <w:tcPr>
            <w:tcW w:w="1560" w:type="dxa"/>
            <w:vAlign w:val="center"/>
          </w:tcPr>
          <w:p w14:paraId="4D2B40D0"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5084,2</w:t>
            </w:r>
          </w:p>
        </w:tc>
        <w:tc>
          <w:tcPr>
            <w:tcW w:w="1134" w:type="dxa"/>
            <w:vAlign w:val="center"/>
          </w:tcPr>
          <w:p w14:paraId="0F6250F2"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В 3 раза</w:t>
            </w:r>
          </w:p>
        </w:tc>
      </w:tr>
      <w:tr w:rsidR="00AE2300" w:rsidRPr="00D75DF7" w14:paraId="389F17E8" w14:textId="77777777" w:rsidTr="00FF6937">
        <w:tc>
          <w:tcPr>
            <w:tcW w:w="3686" w:type="dxa"/>
          </w:tcPr>
          <w:p w14:paraId="186EC8E9"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ЕСХН</w:t>
            </w:r>
          </w:p>
        </w:tc>
        <w:tc>
          <w:tcPr>
            <w:tcW w:w="1474" w:type="dxa"/>
          </w:tcPr>
          <w:p w14:paraId="6D1E4DD6"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1414,9</w:t>
            </w:r>
          </w:p>
        </w:tc>
        <w:tc>
          <w:tcPr>
            <w:tcW w:w="1361" w:type="dxa"/>
            <w:vAlign w:val="center"/>
          </w:tcPr>
          <w:p w14:paraId="3E9CF79D"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1913,4</w:t>
            </w:r>
          </w:p>
        </w:tc>
        <w:tc>
          <w:tcPr>
            <w:tcW w:w="1560" w:type="dxa"/>
            <w:vAlign w:val="center"/>
          </w:tcPr>
          <w:p w14:paraId="26D41907"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1913,4</w:t>
            </w:r>
          </w:p>
        </w:tc>
        <w:tc>
          <w:tcPr>
            <w:tcW w:w="1134" w:type="dxa"/>
            <w:vAlign w:val="center"/>
          </w:tcPr>
          <w:p w14:paraId="31D0F6F6"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135,2</w:t>
            </w:r>
          </w:p>
        </w:tc>
      </w:tr>
      <w:tr w:rsidR="00AE2300" w:rsidRPr="00D75DF7" w14:paraId="040B2FFC" w14:textId="77777777" w:rsidTr="00FF6937">
        <w:tc>
          <w:tcPr>
            <w:tcW w:w="3686" w:type="dxa"/>
          </w:tcPr>
          <w:p w14:paraId="4A64DF45"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lastRenderedPageBreak/>
              <w:t>Единый налог, применяемый в связи с применением патентной системы</w:t>
            </w:r>
          </w:p>
        </w:tc>
        <w:tc>
          <w:tcPr>
            <w:tcW w:w="1474" w:type="dxa"/>
          </w:tcPr>
          <w:p w14:paraId="1AD6388E"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953,6</w:t>
            </w:r>
          </w:p>
        </w:tc>
        <w:tc>
          <w:tcPr>
            <w:tcW w:w="1361" w:type="dxa"/>
            <w:vAlign w:val="center"/>
          </w:tcPr>
          <w:p w14:paraId="274454F0"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1154,8</w:t>
            </w:r>
          </w:p>
        </w:tc>
        <w:tc>
          <w:tcPr>
            <w:tcW w:w="1560" w:type="dxa"/>
            <w:vAlign w:val="center"/>
          </w:tcPr>
          <w:p w14:paraId="037B3B41"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1154,8</w:t>
            </w:r>
          </w:p>
        </w:tc>
        <w:tc>
          <w:tcPr>
            <w:tcW w:w="1134" w:type="dxa"/>
            <w:vAlign w:val="center"/>
          </w:tcPr>
          <w:p w14:paraId="299CEBB4"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121,1</w:t>
            </w:r>
          </w:p>
        </w:tc>
      </w:tr>
      <w:tr w:rsidR="00AE2300" w:rsidRPr="00D75DF7" w14:paraId="36830F07" w14:textId="77777777" w:rsidTr="00FF6937">
        <w:tc>
          <w:tcPr>
            <w:tcW w:w="3686" w:type="dxa"/>
          </w:tcPr>
          <w:p w14:paraId="3C3C96FC"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Земельный налог</w:t>
            </w:r>
          </w:p>
        </w:tc>
        <w:tc>
          <w:tcPr>
            <w:tcW w:w="1474" w:type="dxa"/>
            <w:vAlign w:val="center"/>
          </w:tcPr>
          <w:p w14:paraId="7B79237A"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1137,6</w:t>
            </w:r>
          </w:p>
        </w:tc>
        <w:tc>
          <w:tcPr>
            <w:tcW w:w="1361" w:type="dxa"/>
            <w:vAlign w:val="center"/>
          </w:tcPr>
          <w:p w14:paraId="7152E8AB"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501,8</w:t>
            </w:r>
          </w:p>
        </w:tc>
        <w:tc>
          <w:tcPr>
            <w:tcW w:w="1560" w:type="dxa"/>
            <w:vAlign w:val="center"/>
          </w:tcPr>
          <w:p w14:paraId="14B4D0F3"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873</w:t>
            </w:r>
          </w:p>
        </w:tc>
        <w:tc>
          <w:tcPr>
            <w:tcW w:w="1134" w:type="dxa"/>
            <w:vAlign w:val="center"/>
          </w:tcPr>
          <w:p w14:paraId="77C0B23F"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76,7</w:t>
            </w:r>
          </w:p>
        </w:tc>
      </w:tr>
      <w:tr w:rsidR="00AE2300" w:rsidRPr="00D75DF7" w14:paraId="14560A71" w14:textId="77777777" w:rsidTr="00FF6937">
        <w:tc>
          <w:tcPr>
            <w:tcW w:w="3686" w:type="dxa"/>
          </w:tcPr>
          <w:p w14:paraId="5CE447FF"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ИТОГО</w:t>
            </w:r>
          </w:p>
        </w:tc>
        <w:tc>
          <w:tcPr>
            <w:tcW w:w="1474" w:type="dxa"/>
            <w:vAlign w:val="center"/>
          </w:tcPr>
          <w:p w14:paraId="3CAAF447"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45017,7</w:t>
            </w:r>
          </w:p>
        </w:tc>
        <w:tc>
          <w:tcPr>
            <w:tcW w:w="1361" w:type="dxa"/>
            <w:vAlign w:val="center"/>
          </w:tcPr>
          <w:p w14:paraId="056A1E30"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50653,2</w:t>
            </w:r>
          </w:p>
        </w:tc>
        <w:tc>
          <w:tcPr>
            <w:tcW w:w="1560" w:type="dxa"/>
            <w:vAlign w:val="center"/>
          </w:tcPr>
          <w:p w14:paraId="5314DB79"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54712,3</w:t>
            </w:r>
          </w:p>
        </w:tc>
        <w:tc>
          <w:tcPr>
            <w:tcW w:w="1134" w:type="dxa"/>
            <w:vAlign w:val="center"/>
          </w:tcPr>
          <w:p w14:paraId="62348819" w14:textId="77777777" w:rsidR="00AE2300" w:rsidRPr="00D75DF7" w:rsidRDefault="00AE2300" w:rsidP="00FF6937">
            <w:pPr>
              <w:pStyle w:val="a3"/>
              <w:jc w:val="center"/>
              <w:rPr>
                <w:rFonts w:ascii="Times New Roman" w:hAnsi="Times New Roman"/>
                <w:bCs/>
                <w:sz w:val="24"/>
                <w:szCs w:val="24"/>
              </w:rPr>
            </w:pPr>
            <w:r w:rsidRPr="00D75DF7">
              <w:rPr>
                <w:rFonts w:ascii="Times New Roman" w:hAnsi="Times New Roman"/>
                <w:bCs/>
                <w:sz w:val="24"/>
                <w:szCs w:val="24"/>
              </w:rPr>
              <w:t>121,5</w:t>
            </w:r>
          </w:p>
        </w:tc>
      </w:tr>
    </w:tbl>
    <w:p w14:paraId="43DB3EFB" w14:textId="77777777" w:rsidR="00AE2300" w:rsidRPr="00D75DF7" w:rsidRDefault="00AE2300" w:rsidP="00AE2300">
      <w:pPr>
        <w:pStyle w:val="a3"/>
        <w:jc w:val="center"/>
        <w:rPr>
          <w:rFonts w:ascii="Times New Roman" w:hAnsi="Times New Roman" w:cs="Times New Roman"/>
          <w:b/>
          <w:bCs/>
          <w:sz w:val="24"/>
          <w:szCs w:val="24"/>
        </w:rPr>
      </w:pPr>
    </w:p>
    <w:p w14:paraId="4D0C0A49" w14:textId="77777777" w:rsidR="00AE2300" w:rsidRPr="00D75DF7" w:rsidRDefault="00AE2300" w:rsidP="00AE2300">
      <w:pPr>
        <w:pStyle w:val="a3"/>
        <w:jc w:val="both"/>
        <w:rPr>
          <w:rFonts w:ascii="Times New Roman" w:hAnsi="Times New Roman" w:cs="Times New Roman"/>
          <w:bCs/>
          <w:sz w:val="24"/>
          <w:szCs w:val="24"/>
        </w:rPr>
      </w:pPr>
      <w:r w:rsidRPr="00D75DF7">
        <w:rPr>
          <w:rFonts w:ascii="Times New Roman" w:hAnsi="Times New Roman" w:cs="Times New Roman"/>
          <w:bCs/>
          <w:sz w:val="24"/>
          <w:szCs w:val="24"/>
        </w:rPr>
        <w:tab/>
      </w:r>
      <w:r w:rsidRPr="00D75DF7">
        <w:rPr>
          <w:rFonts w:ascii="Times New Roman" w:eastAsia="Times New Roman" w:hAnsi="Times New Roman" w:cs="Times New Roman"/>
          <w:sz w:val="24"/>
          <w:szCs w:val="24"/>
        </w:rPr>
        <w:t>За 2022 год объявлено 16 электронных аукциона для субъектов малого предпринимательства на 64 432,5 тыс. руб., заключено 16 муниципальных контрактов на 60 384,1 тыс. руб., 2 открытых конкурса в электронной форме на 15 922 тыс. рублей и заключено два контракта на сумму 15 900 ,0 тыс. руб.  Управлением Территориального развития Администрации Кезского района объявлено 27 электронных аукциона на общую сумму 31 406,7 тыс. рублей и заключено 27 контрактов на 30 930,2 тыс. руб., 2 запроса котировок в электронной форме на 1 498 тыс. рублей   и заключено два контракта на сумму 1 498,0 тыс. рублей.</w:t>
      </w:r>
      <w:r w:rsidRPr="00D75DF7">
        <w:rPr>
          <w:rFonts w:ascii="Times New Roman" w:hAnsi="Times New Roman" w:cs="Times New Roman"/>
          <w:bCs/>
          <w:sz w:val="24"/>
          <w:szCs w:val="24"/>
        </w:rPr>
        <w:tab/>
      </w:r>
    </w:p>
    <w:p w14:paraId="61F369F6" w14:textId="77777777" w:rsidR="00AE2300" w:rsidRPr="00D75DF7" w:rsidRDefault="00AE2300" w:rsidP="00AE2300">
      <w:pPr>
        <w:spacing w:after="0" w:line="240" w:lineRule="auto"/>
        <w:ind w:firstLine="708"/>
        <w:jc w:val="both"/>
        <w:rPr>
          <w:rFonts w:ascii="Times New Roman" w:hAnsi="Times New Roman" w:cs="Times New Roman"/>
          <w:sz w:val="24"/>
          <w:szCs w:val="24"/>
          <w:shd w:val="clear" w:color="auto" w:fill="FFFFFF"/>
        </w:rPr>
      </w:pPr>
      <w:r w:rsidRPr="00D75DF7">
        <w:rPr>
          <w:rFonts w:ascii="Times New Roman" w:hAnsi="Times New Roman" w:cs="Times New Roman"/>
          <w:sz w:val="24"/>
          <w:szCs w:val="24"/>
        </w:rPr>
        <w:t xml:space="preserve">За отчетный период заключено </w:t>
      </w:r>
      <w:r w:rsidRPr="00D75DF7">
        <w:rPr>
          <w:rFonts w:ascii="Times New Roman" w:hAnsi="Times New Roman" w:cs="Times New Roman"/>
          <w:sz w:val="24"/>
          <w:szCs w:val="24"/>
          <w:shd w:val="clear" w:color="auto" w:fill="FFFFFF"/>
        </w:rPr>
        <w:t xml:space="preserve">76 социальных контрактов на сумму 7216,880 тыс. рублей, из них: на преодоление трудной жизненной ситуации – 14 - (1025,068 тыс. рублей), по поиску работы – 38 – (1826,712 </w:t>
      </w:r>
      <w:proofErr w:type="spellStart"/>
      <w:r w:rsidRPr="00D75DF7">
        <w:rPr>
          <w:rFonts w:ascii="Times New Roman" w:hAnsi="Times New Roman" w:cs="Times New Roman"/>
          <w:sz w:val="24"/>
          <w:szCs w:val="24"/>
          <w:shd w:val="clear" w:color="auto" w:fill="FFFFFF"/>
        </w:rPr>
        <w:t>тыс.рублей</w:t>
      </w:r>
      <w:proofErr w:type="spellEnd"/>
      <w:r w:rsidRPr="00D75DF7">
        <w:rPr>
          <w:rFonts w:ascii="Times New Roman" w:hAnsi="Times New Roman" w:cs="Times New Roman"/>
          <w:sz w:val="24"/>
          <w:szCs w:val="24"/>
          <w:shd w:val="clear" w:color="auto" w:fill="FFFFFF"/>
        </w:rPr>
        <w:t xml:space="preserve">), по организации личного подсобного хозяйства – 9 – (1000,000 </w:t>
      </w:r>
      <w:proofErr w:type="spellStart"/>
      <w:r w:rsidRPr="00D75DF7">
        <w:rPr>
          <w:rFonts w:ascii="Times New Roman" w:hAnsi="Times New Roman" w:cs="Times New Roman"/>
          <w:sz w:val="24"/>
          <w:szCs w:val="24"/>
          <w:shd w:val="clear" w:color="auto" w:fill="FFFFFF"/>
        </w:rPr>
        <w:t>тыс.рублей</w:t>
      </w:r>
      <w:proofErr w:type="spellEnd"/>
      <w:r w:rsidRPr="00D75DF7">
        <w:rPr>
          <w:rFonts w:ascii="Times New Roman" w:hAnsi="Times New Roman" w:cs="Times New Roman"/>
          <w:sz w:val="24"/>
          <w:szCs w:val="24"/>
          <w:shd w:val="clear" w:color="auto" w:fill="FFFFFF"/>
        </w:rPr>
        <w:t>), по организации индивидуальной предпринимательской деятельности – 15 – (3465 тыс. рублей) социальных контрактов. Наиболее интересные проекты представлены:</w:t>
      </w:r>
    </w:p>
    <w:p w14:paraId="5234DB3B" w14:textId="77777777" w:rsidR="00AE2300" w:rsidRPr="00D75DF7" w:rsidRDefault="00AE2300" w:rsidP="00AE2300">
      <w:pPr>
        <w:spacing w:after="0" w:line="240" w:lineRule="auto"/>
        <w:jc w:val="both"/>
        <w:rPr>
          <w:rFonts w:ascii="Times New Roman" w:eastAsia="Times New Roman" w:hAnsi="Times New Roman" w:cs="Times New Roman"/>
          <w:bCs/>
          <w:sz w:val="24"/>
          <w:szCs w:val="24"/>
        </w:rPr>
      </w:pPr>
      <w:r w:rsidRPr="00D75DF7">
        <w:rPr>
          <w:rFonts w:ascii="Times New Roman" w:hAnsi="Times New Roman" w:cs="Times New Roman"/>
          <w:sz w:val="24"/>
          <w:szCs w:val="24"/>
          <w:shd w:val="clear" w:color="auto" w:fill="FFFFFF"/>
        </w:rPr>
        <w:tab/>
        <w:t>-Главатских Татьяна Ивановна -«</w:t>
      </w:r>
      <w:r w:rsidRPr="00D75DF7">
        <w:rPr>
          <w:rFonts w:ascii="Times New Roman" w:eastAsia="Times New Roman" w:hAnsi="Times New Roman" w:cs="Times New Roman"/>
          <w:bCs/>
          <w:sz w:val="24"/>
          <w:szCs w:val="24"/>
        </w:rPr>
        <w:t>Инкубирование и выведение сельскохозяйственной птицы». Имеет опыт работы в данном направлении, на средства социального контракта в размере 100 тыс. рублей приобретено два инкубатора, яйца инкубационные. Планируют расширить объемы по выведению бройлерных птенцов кур, уток, индейки, гусей.</w:t>
      </w:r>
      <w:r w:rsidRPr="00D75DF7">
        <w:rPr>
          <w:rFonts w:ascii="Times New Roman" w:eastAsia="Times New Roman" w:hAnsi="Times New Roman" w:cs="Times New Roman"/>
          <w:bCs/>
          <w:sz w:val="24"/>
          <w:szCs w:val="24"/>
        </w:rPr>
        <w:tab/>
      </w:r>
    </w:p>
    <w:p w14:paraId="50CB509B" w14:textId="77777777" w:rsidR="00AE2300" w:rsidRPr="00D75DF7" w:rsidRDefault="00AE2300" w:rsidP="00AE2300">
      <w:pPr>
        <w:spacing w:after="0" w:line="240" w:lineRule="auto"/>
        <w:jc w:val="both"/>
        <w:rPr>
          <w:rFonts w:ascii="Times New Roman" w:eastAsia="Times New Roman" w:hAnsi="Times New Roman" w:cs="Times New Roman"/>
          <w:bCs/>
          <w:sz w:val="24"/>
          <w:szCs w:val="24"/>
        </w:rPr>
      </w:pPr>
      <w:r w:rsidRPr="00D75DF7">
        <w:rPr>
          <w:rFonts w:ascii="Times New Roman" w:eastAsia="Times New Roman" w:hAnsi="Times New Roman" w:cs="Times New Roman"/>
          <w:bCs/>
          <w:sz w:val="24"/>
          <w:szCs w:val="24"/>
        </w:rPr>
        <w:tab/>
        <w:t>-</w:t>
      </w:r>
      <w:proofErr w:type="spellStart"/>
      <w:r w:rsidRPr="00D75DF7">
        <w:rPr>
          <w:rFonts w:ascii="Times New Roman" w:eastAsia="Times New Roman" w:hAnsi="Times New Roman" w:cs="Times New Roman"/>
          <w:bCs/>
          <w:sz w:val="24"/>
          <w:szCs w:val="24"/>
        </w:rPr>
        <w:t>Ичетовкина</w:t>
      </w:r>
      <w:proofErr w:type="spellEnd"/>
      <w:r w:rsidRPr="00D75DF7">
        <w:rPr>
          <w:rFonts w:ascii="Times New Roman" w:eastAsia="Times New Roman" w:hAnsi="Times New Roman" w:cs="Times New Roman"/>
          <w:bCs/>
          <w:sz w:val="24"/>
          <w:szCs w:val="24"/>
        </w:rPr>
        <w:t xml:space="preserve"> Марина Михайловна открыла пекарню по производству хлебобулочных изделий. Для открытия собственного дела приобрела тестомесительную машину, печь конвекционную, муку на сумму 250 тыс. рублей. Обслуживает местное население и реализует продукцию в п. Кез. Предоставила дополнительные рабочие места.</w:t>
      </w:r>
    </w:p>
    <w:p w14:paraId="22E032E9" w14:textId="77777777" w:rsidR="00AE2300" w:rsidRPr="00D75DF7" w:rsidRDefault="00AE2300" w:rsidP="00AE2300">
      <w:pPr>
        <w:spacing w:after="0" w:line="240" w:lineRule="auto"/>
        <w:jc w:val="both"/>
        <w:rPr>
          <w:rFonts w:ascii="Times New Roman" w:eastAsia="Times New Roman" w:hAnsi="Times New Roman" w:cs="Times New Roman"/>
          <w:bCs/>
          <w:sz w:val="24"/>
          <w:szCs w:val="24"/>
        </w:rPr>
      </w:pPr>
      <w:r w:rsidRPr="00D75DF7">
        <w:rPr>
          <w:rFonts w:ascii="Times New Roman" w:eastAsia="Times New Roman" w:hAnsi="Times New Roman" w:cs="Times New Roman"/>
          <w:bCs/>
          <w:sz w:val="24"/>
          <w:szCs w:val="24"/>
        </w:rPr>
        <w:tab/>
        <w:t>-Шабанов Станислав Андреевич имел опыт работы по выращиванию зелени в своей небольшой теплице. Семья решила увеличить производство продукции и построить еще одну теплицу. Для этого приобрели материалы для строительства теплицы на сумму 250 тыс. рублей. Занимается выращиванием зелени, рассады, цветов, овощей, спрос на продукцию стабильный в течении девяти месяцев. Реализация продукции производится через магазины и соцсети.</w:t>
      </w:r>
    </w:p>
    <w:p w14:paraId="0E0DDE01" w14:textId="77777777" w:rsidR="00AE2300" w:rsidRPr="00D75DF7" w:rsidRDefault="00AE2300" w:rsidP="00AE2300">
      <w:pPr>
        <w:spacing w:after="0"/>
        <w:ind w:firstLine="851"/>
        <w:jc w:val="both"/>
        <w:rPr>
          <w:rFonts w:ascii="Times New Roman" w:hAnsi="Times New Roman" w:cs="Times New Roman"/>
          <w:sz w:val="18"/>
          <w:szCs w:val="18"/>
          <w:shd w:val="clear" w:color="auto" w:fill="FFFFFF"/>
        </w:rPr>
      </w:pPr>
      <w:r w:rsidRPr="00D75DF7">
        <w:rPr>
          <w:rFonts w:ascii="Times New Roman" w:hAnsi="Times New Roman" w:cs="Times New Roman"/>
          <w:sz w:val="24"/>
          <w:szCs w:val="24"/>
          <w:shd w:val="clear" w:color="auto" w:fill="FFFFFF"/>
        </w:rPr>
        <w:t>- Ефремова Яна Олеговна – мастер-классы по вязанию сумок и изготовление изделий из эпоксидной смолы.</w:t>
      </w:r>
    </w:p>
    <w:p w14:paraId="450A792C" w14:textId="77777777" w:rsidR="00AE2300" w:rsidRPr="00D75DF7" w:rsidRDefault="00AE2300" w:rsidP="00AE2300">
      <w:pPr>
        <w:pStyle w:val="a3"/>
        <w:ind w:firstLine="708"/>
        <w:jc w:val="both"/>
        <w:rPr>
          <w:rFonts w:ascii="Times New Roman" w:hAnsi="Times New Roman" w:cs="Times New Roman"/>
          <w:sz w:val="24"/>
          <w:szCs w:val="24"/>
        </w:rPr>
      </w:pPr>
      <w:r w:rsidRPr="00D75DF7">
        <w:rPr>
          <w:rFonts w:ascii="Times New Roman" w:hAnsi="Times New Roman" w:cs="Times New Roman"/>
          <w:sz w:val="24"/>
          <w:szCs w:val="24"/>
        </w:rPr>
        <w:t xml:space="preserve">Основными направлениями поддержки субъектов малого и среднего предпринимательства стали информационная, организационная, консультационная, имущественная поддержка. </w:t>
      </w:r>
      <w:r w:rsidRPr="00D75DF7">
        <w:rPr>
          <w:rFonts w:ascii="Times New Roman" w:hAnsi="Times New Roman" w:cs="Times New Roman"/>
          <w:sz w:val="24"/>
          <w:szCs w:val="24"/>
        </w:rPr>
        <w:tab/>
        <w:t>Для ведения предпринимательской деятельности субъектам малого предпринимательства предоставлено в аренду 14 муниципальных нежилых помещения, общей площадью 502,49 кв.м. (ИП Касимова Л.В., ООО «Жемчужина», ООО «Кезское ПКХ», ООО «Газпром межрегионгаз г. Ижевск», ООО «</w:t>
      </w:r>
      <w:proofErr w:type="spellStart"/>
      <w:r w:rsidRPr="00D75DF7">
        <w:rPr>
          <w:rFonts w:ascii="Times New Roman" w:hAnsi="Times New Roman" w:cs="Times New Roman"/>
          <w:sz w:val="24"/>
          <w:szCs w:val="24"/>
        </w:rPr>
        <w:t>Кезкоммунсервис</w:t>
      </w:r>
      <w:proofErr w:type="spellEnd"/>
      <w:r w:rsidRPr="00D75DF7">
        <w:rPr>
          <w:rFonts w:ascii="Times New Roman" w:hAnsi="Times New Roman" w:cs="Times New Roman"/>
          <w:sz w:val="24"/>
          <w:szCs w:val="24"/>
        </w:rPr>
        <w:t>», ИП Насруллаева А.И.,ООО «Ингосстрах, почта России).</w:t>
      </w:r>
    </w:p>
    <w:p w14:paraId="3DD7584A" w14:textId="77777777" w:rsidR="00AE2300" w:rsidRPr="00D75DF7" w:rsidRDefault="00AE2300" w:rsidP="00AE2300">
      <w:pPr>
        <w:pStyle w:val="a3"/>
        <w:jc w:val="both"/>
        <w:rPr>
          <w:rFonts w:ascii="Times New Roman" w:hAnsi="Times New Roman" w:cs="Times New Roman"/>
          <w:sz w:val="24"/>
          <w:szCs w:val="24"/>
        </w:rPr>
      </w:pPr>
      <w:r w:rsidRPr="00D75DF7">
        <w:tab/>
      </w:r>
      <w:r w:rsidRPr="00D75DF7">
        <w:rPr>
          <w:rFonts w:ascii="Times New Roman" w:hAnsi="Times New Roman" w:cs="Times New Roman"/>
          <w:sz w:val="24"/>
          <w:szCs w:val="24"/>
        </w:rPr>
        <w:t xml:space="preserve">За 2022 год предпринимателями района в Фонд поддержки малого предпринимательства Удмуртской Республики подано 13 заявок на получение займов на сумму 21,1 млн. руб., из них удовлетворены 5 заявок на сумму 10,7 млн. рублей (получили </w:t>
      </w:r>
      <w:proofErr w:type="spellStart"/>
      <w:r w:rsidRPr="00D75DF7">
        <w:rPr>
          <w:rFonts w:ascii="Times New Roman" w:hAnsi="Times New Roman" w:cs="Times New Roman"/>
          <w:sz w:val="24"/>
          <w:szCs w:val="24"/>
        </w:rPr>
        <w:t>займ</w:t>
      </w:r>
      <w:proofErr w:type="spellEnd"/>
      <w:r w:rsidRPr="00D75DF7">
        <w:rPr>
          <w:rFonts w:ascii="Times New Roman" w:hAnsi="Times New Roman" w:cs="Times New Roman"/>
          <w:sz w:val="24"/>
          <w:szCs w:val="24"/>
        </w:rPr>
        <w:t xml:space="preserve"> 4 субъекта МСП под 5%).  Полученные финансовые средства направлены на пополнение оборотных средств.</w:t>
      </w:r>
    </w:p>
    <w:p w14:paraId="0962D76B" w14:textId="77777777" w:rsidR="00AE2300" w:rsidRPr="00D75DF7" w:rsidRDefault="00AE2300" w:rsidP="00AE2300">
      <w:pPr>
        <w:pStyle w:val="a3"/>
        <w:jc w:val="both"/>
        <w:rPr>
          <w:rFonts w:ascii="Times New Roman" w:hAnsi="Times New Roman" w:cs="Times New Roman"/>
          <w:sz w:val="24"/>
          <w:szCs w:val="24"/>
        </w:rPr>
      </w:pPr>
      <w:r w:rsidRPr="00D75DF7">
        <w:rPr>
          <w:rFonts w:ascii="Times New Roman" w:hAnsi="Times New Roman" w:cs="Times New Roman"/>
          <w:sz w:val="24"/>
          <w:szCs w:val="24"/>
        </w:rPr>
        <w:tab/>
        <w:t xml:space="preserve">В целях продвижения продукции субъектов малого предпринимательства  на республиканский и межрегиональный рынок Кезское РАЙПО, ИП Касимова Л.В, ИП </w:t>
      </w:r>
      <w:proofErr w:type="spellStart"/>
      <w:r w:rsidRPr="00D75DF7">
        <w:rPr>
          <w:rFonts w:ascii="Times New Roman" w:hAnsi="Times New Roman" w:cs="Times New Roman"/>
          <w:sz w:val="24"/>
          <w:szCs w:val="24"/>
        </w:rPr>
        <w:t>Лекомцева</w:t>
      </w:r>
      <w:proofErr w:type="spellEnd"/>
      <w:r w:rsidRPr="00D75DF7">
        <w:rPr>
          <w:rFonts w:ascii="Times New Roman" w:hAnsi="Times New Roman" w:cs="Times New Roman"/>
          <w:sz w:val="24"/>
          <w:szCs w:val="24"/>
        </w:rPr>
        <w:t xml:space="preserve"> Е.С. приняли участие в гастрономическом  фестивале  республики ― «Всемирный день пельменя», в  Межрегиональном фестивале «Сказочные герои на родине </w:t>
      </w:r>
      <w:r w:rsidRPr="00D75DF7">
        <w:rPr>
          <w:rFonts w:ascii="Times New Roman" w:hAnsi="Times New Roman" w:cs="Times New Roman"/>
          <w:sz w:val="24"/>
          <w:szCs w:val="24"/>
        </w:rPr>
        <w:lastRenderedPageBreak/>
        <w:t>Тол Бабая» (с. Шаркан), в VIII Международном фестивале  финно-угорской кухни «</w:t>
      </w:r>
      <w:proofErr w:type="spellStart"/>
      <w:r w:rsidRPr="00D75DF7">
        <w:rPr>
          <w:rFonts w:ascii="Times New Roman" w:hAnsi="Times New Roman" w:cs="Times New Roman"/>
          <w:sz w:val="24"/>
          <w:szCs w:val="24"/>
        </w:rPr>
        <w:t>Быг-Быг</w:t>
      </w:r>
      <w:proofErr w:type="spellEnd"/>
      <w:r w:rsidRPr="00D75DF7">
        <w:rPr>
          <w:rFonts w:ascii="Times New Roman" w:hAnsi="Times New Roman" w:cs="Times New Roman"/>
          <w:sz w:val="24"/>
          <w:szCs w:val="24"/>
        </w:rPr>
        <w:t xml:space="preserve">» (в деревне Старые </w:t>
      </w:r>
      <w:proofErr w:type="spellStart"/>
      <w:r w:rsidRPr="00D75DF7">
        <w:rPr>
          <w:rFonts w:ascii="Times New Roman" w:hAnsi="Times New Roman" w:cs="Times New Roman"/>
          <w:sz w:val="24"/>
          <w:szCs w:val="24"/>
        </w:rPr>
        <w:t>Быги</w:t>
      </w:r>
      <w:proofErr w:type="spellEnd"/>
      <w:r w:rsidRPr="00D75DF7">
        <w:rPr>
          <w:rFonts w:ascii="Times New Roman" w:hAnsi="Times New Roman" w:cs="Times New Roman"/>
          <w:sz w:val="24"/>
          <w:szCs w:val="24"/>
        </w:rPr>
        <w:t>) и др.</w:t>
      </w:r>
    </w:p>
    <w:p w14:paraId="2FEED0C1" w14:textId="77777777" w:rsidR="00AE2300" w:rsidRPr="00D75DF7" w:rsidRDefault="00AE2300" w:rsidP="00AE2300">
      <w:pPr>
        <w:pStyle w:val="a3"/>
        <w:ind w:firstLine="708"/>
        <w:jc w:val="both"/>
        <w:rPr>
          <w:rFonts w:ascii="Times New Roman" w:eastAsia="Times New Roman" w:hAnsi="Times New Roman" w:cs="Times New Roman"/>
          <w:sz w:val="24"/>
          <w:szCs w:val="24"/>
        </w:rPr>
      </w:pPr>
      <w:r w:rsidRPr="00D75DF7">
        <w:rPr>
          <w:rFonts w:ascii="Times New Roman" w:eastAsia="Times New Roman" w:hAnsi="Times New Roman" w:cs="Times New Roman"/>
          <w:sz w:val="24"/>
          <w:szCs w:val="24"/>
        </w:rPr>
        <w:t xml:space="preserve">В районной газете "Звезда" в течении года размещалась информация о деятельности индивидуальных предпринимателей Бутковой Н.С., </w:t>
      </w:r>
      <w:proofErr w:type="spellStart"/>
      <w:r w:rsidRPr="00D75DF7">
        <w:rPr>
          <w:rFonts w:ascii="Times New Roman" w:eastAsia="Times New Roman" w:hAnsi="Times New Roman" w:cs="Times New Roman"/>
          <w:sz w:val="24"/>
          <w:szCs w:val="24"/>
        </w:rPr>
        <w:t>Лекомцевой</w:t>
      </w:r>
      <w:proofErr w:type="spellEnd"/>
      <w:r w:rsidRPr="00D75DF7">
        <w:rPr>
          <w:rFonts w:ascii="Times New Roman" w:eastAsia="Times New Roman" w:hAnsi="Times New Roman" w:cs="Times New Roman"/>
          <w:sz w:val="24"/>
          <w:szCs w:val="24"/>
        </w:rPr>
        <w:t xml:space="preserve"> Е.С., Коршунова О.В. и др. - как примеры успешного ведения бизнеса.  Для развития субъектов малого и среднего предпринимательства проведены 6 мероприятий при участии Центра развития «Мой бизнес», налоговой инспекции, Роспотребнадзора.  Востребована беседа в социальной сети в контакте «Совет предпринимателей».   Оказывается методическая помощь в подготовке бизнес-планов для организации собственного дела.</w:t>
      </w:r>
    </w:p>
    <w:p w14:paraId="77CB4E62" w14:textId="77777777" w:rsidR="00AE2300" w:rsidRPr="00D75DF7" w:rsidRDefault="00AE2300" w:rsidP="00AE2300">
      <w:pPr>
        <w:pStyle w:val="a3"/>
        <w:ind w:firstLine="708"/>
        <w:jc w:val="both"/>
        <w:rPr>
          <w:rFonts w:ascii="Times New Roman" w:hAnsi="Times New Roman" w:cs="Times New Roman"/>
          <w:sz w:val="24"/>
          <w:szCs w:val="24"/>
        </w:rPr>
      </w:pPr>
      <w:r w:rsidRPr="00D75DF7">
        <w:rPr>
          <w:rFonts w:ascii="Times New Roman" w:hAnsi="Times New Roman" w:cs="Times New Roman"/>
          <w:sz w:val="24"/>
          <w:szCs w:val="24"/>
        </w:rPr>
        <w:t xml:space="preserve">В администрации Кезского района действует система прямой обратной связи с бизнесом. Одной из площадок для взаимодействия и предоставления информационно-консультационной поддержки является группа в ВК «Совет предпринимателей», в которой состоит 115 участников. Общение со специалистами администрации организовано в режиме 24 часа в сутки. Предпринимателям оперативно доводится информация о принимаемых мерах поддержки. </w:t>
      </w:r>
    </w:p>
    <w:p w14:paraId="2FD3C84C" w14:textId="77777777" w:rsidR="00AE2300" w:rsidRDefault="00AE2300" w:rsidP="00AE2300">
      <w:pPr>
        <w:jc w:val="center"/>
      </w:pPr>
    </w:p>
    <w:p w14:paraId="316E0BE0" w14:textId="77777777" w:rsidR="00AE2300" w:rsidRDefault="00AE2300" w:rsidP="00AE2300">
      <w:pPr>
        <w:jc w:val="center"/>
      </w:pPr>
    </w:p>
    <w:sectPr w:rsidR="00AE2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05"/>
    <w:rsid w:val="00492500"/>
    <w:rsid w:val="004B5CC8"/>
    <w:rsid w:val="0068793D"/>
    <w:rsid w:val="00AE2300"/>
    <w:rsid w:val="00B461D4"/>
    <w:rsid w:val="00B8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0464"/>
  <w15:chartTrackingRefBased/>
  <w15:docId w15:val="{FE3D9C09-A945-4227-AC10-D559E8AB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E2300"/>
    <w:pPr>
      <w:spacing w:after="0" w:line="240" w:lineRule="auto"/>
    </w:pPr>
    <w:rPr>
      <w:rFonts w:eastAsiaTheme="minorEastAsia"/>
      <w:kern w:val="0"/>
      <w:lang w:eastAsia="ru-RU"/>
      <w14:ligatures w14:val="none"/>
    </w:rPr>
  </w:style>
  <w:style w:type="character" w:customStyle="1" w:styleId="a4">
    <w:name w:val="Без интервала Знак"/>
    <w:link w:val="a3"/>
    <w:uiPriority w:val="1"/>
    <w:rsid w:val="00AE2300"/>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dc:creator>
  <cp:keywords/>
  <dc:description/>
  <cp:lastModifiedBy>T M</cp:lastModifiedBy>
  <cp:revision>2</cp:revision>
  <dcterms:created xsi:type="dcterms:W3CDTF">2024-04-02T08:20:00Z</dcterms:created>
  <dcterms:modified xsi:type="dcterms:W3CDTF">2024-04-02T08:22:00Z</dcterms:modified>
</cp:coreProperties>
</file>