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FA" w:rsidRPr="0040345C" w:rsidRDefault="0040345C" w:rsidP="0040345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7</w:t>
      </w:r>
    </w:p>
    <w:p w:rsidR="0040345C" w:rsidRDefault="0040345C">
      <w:pPr>
        <w:pStyle w:val="ConsPlusTitle"/>
        <w:jc w:val="center"/>
      </w:pPr>
      <w:bookmarkStart w:id="0" w:name="P44"/>
      <w:bookmarkEnd w:id="0"/>
    </w:p>
    <w:p w:rsidR="0040345C" w:rsidRDefault="0040345C">
      <w:pPr>
        <w:pStyle w:val="ConsPlusTitle"/>
        <w:jc w:val="center"/>
      </w:pPr>
    </w:p>
    <w:p w:rsidR="00A35FFA" w:rsidRDefault="00A35FFA">
      <w:pPr>
        <w:pStyle w:val="ConsPlusTitle"/>
        <w:jc w:val="center"/>
      </w:pPr>
      <w:r>
        <w:t>ДОЛГОСРОЧНЫЕ ПАРАМЕТРЫ</w:t>
      </w:r>
    </w:p>
    <w:p w:rsidR="00A35FFA" w:rsidRDefault="00A35FFA">
      <w:pPr>
        <w:pStyle w:val="ConsPlusTitle"/>
        <w:jc w:val="center"/>
      </w:pPr>
      <w:r>
        <w:t>РЕГУЛИРОВАНИЯ, УСТАНАВЛИВАЕМЫЕ НА ДОЛГОСРОЧНЫЙ ПЕРИОД</w:t>
      </w:r>
    </w:p>
    <w:p w:rsidR="00A35FFA" w:rsidRDefault="00A35FFA">
      <w:pPr>
        <w:pStyle w:val="ConsPlusTitle"/>
        <w:jc w:val="center"/>
      </w:pPr>
      <w:r>
        <w:t>РЕГУЛИРОВАНИЯ ДЛЯ ФОРМИРОВАНИЯ ТАРИФОВ С ИСПОЛЬЗОВАНИЕМ</w:t>
      </w:r>
    </w:p>
    <w:p w:rsidR="00A35FFA" w:rsidRDefault="00A35FFA">
      <w:pPr>
        <w:pStyle w:val="ConsPlusTitle"/>
        <w:jc w:val="center"/>
      </w:pPr>
      <w:r>
        <w:t>МЕТОДА ИНДЕКСАЦИИ УСТАНОВЛЕННЫХ ТАРИФОВ</w:t>
      </w:r>
    </w:p>
    <w:p w:rsidR="00A35FFA" w:rsidRDefault="00A35FFA">
      <w:pPr>
        <w:pStyle w:val="ConsPlusNormal"/>
        <w:jc w:val="both"/>
      </w:pPr>
    </w:p>
    <w:p w:rsidR="00A35FFA" w:rsidRDefault="00A35F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432"/>
        <w:gridCol w:w="687"/>
        <w:gridCol w:w="850"/>
        <w:gridCol w:w="851"/>
        <w:gridCol w:w="850"/>
        <w:gridCol w:w="1318"/>
        <w:gridCol w:w="819"/>
      </w:tblGrid>
      <w:tr w:rsidR="0040345C" w:rsidRPr="00A35FFA" w:rsidTr="00A74BEC">
        <w:trPr>
          <w:trHeight w:val="2665"/>
        </w:trPr>
        <w:tc>
          <w:tcPr>
            <w:tcW w:w="771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32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687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Индекс эффективности операционных расходов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Нормативный уровень прибыли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5FFA">
              <w:rPr>
                <w:rFonts w:ascii="Times New Roman" w:hAnsi="Times New Roman" w:cs="Times New Roman"/>
                <w:sz w:val="16"/>
                <w:szCs w:val="16"/>
              </w:rPr>
              <w:t>Показатели энергосбережения энергетической эффективности: снижение удельного расхода электрической энергии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Динамика изменения расходов на топливо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/Гкал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45C" w:rsidRPr="00A35FFA" w:rsidTr="00A74BEC">
        <w:trPr>
          <w:trHeight w:val="324"/>
        </w:trPr>
        <w:tc>
          <w:tcPr>
            <w:tcW w:w="771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2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"Кезское предприятие коммунального хозяйства" (системы теплоснабжения, расположенные в Удмуртской Республике, муниципальном образовании "Муниципальный округ Кезский район Удмуртской Республики", п. Кез (кроме системы теплоснабжения от котельной по адресу: ул. Верещагина, д. 10), с. Чепца, с. Кулига, с. Полом, с.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Поломское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Пужмезь, д. Новый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Унтем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16499,61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32,00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31,80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31,20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324"/>
        </w:trPr>
        <w:tc>
          <w:tcPr>
            <w:tcW w:w="771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32" w:type="dxa"/>
            <w:vMerge w:val="restart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"Кезское предприятие коммунального хозяйства" (системы теплоснабжения, расположенные в Удмуртской Республике, муниципальном образовании "Муниципальный округ Кезский район Удмуртской Республики", п. Кез (система теплоснабжения от котельной по адресу ул. Верещагина, д. 10), с. Кабалуд, с.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Александрово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поч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Пажман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Старая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Гыя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Желтопи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д. Степаненки)</w:t>
            </w:r>
            <w:proofErr w:type="gramEnd"/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4405,55</w:t>
            </w: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32,00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31,80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31,20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0345C" w:rsidRPr="00A35FFA" w:rsidTr="00A74BEC">
        <w:trPr>
          <w:trHeight w:val="126"/>
        </w:trPr>
        <w:tc>
          <w:tcPr>
            <w:tcW w:w="771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vMerge/>
          </w:tcPr>
          <w:p w:rsidR="0040345C" w:rsidRPr="00A35FFA" w:rsidRDefault="0040345C" w:rsidP="00A74BEC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8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819" w:type="dxa"/>
          </w:tcPr>
          <w:p w:rsidR="0040345C" w:rsidRPr="00A35FFA" w:rsidRDefault="0040345C" w:rsidP="00A74B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0345C" w:rsidRPr="00A35FFA" w:rsidRDefault="0040345C" w:rsidP="0040345C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40345C" w:rsidRDefault="0040345C">
      <w:pPr>
        <w:sectPr w:rsidR="0040345C" w:rsidSect="00A35FFA">
          <w:pgSz w:w="11905" w:h="16838"/>
          <w:pgMar w:top="1134" w:right="851" w:bottom="1134" w:left="1701" w:header="708" w:footer="708" w:gutter="0"/>
          <w:cols w:space="708"/>
          <w:docGrid w:linePitch="360"/>
        </w:sectPr>
      </w:pPr>
    </w:p>
    <w:p w:rsidR="00A35FFA" w:rsidRPr="00A35FFA" w:rsidRDefault="00A35FFA" w:rsidP="0040345C">
      <w:pPr>
        <w:pStyle w:val="ConsPlusTitle"/>
        <w:spacing w:before="280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P140"/>
      <w:bookmarkEnd w:id="1"/>
      <w:r w:rsidRPr="00A35FFA">
        <w:rPr>
          <w:rFonts w:ascii="Times New Roman" w:hAnsi="Times New Roman" w:cs="Times New Roman"/>
          <w:sz w:val="18"/>
          <w:szCs w:val="18"/>
        </w:rPr>
        <w:lastRenderedPageBreak/>
        <w:t>ТАРИФЫ</w:t>
      </w:r>
    </w:p>
    <w:p w:rsidR="00A35FFA" w:rsidRPr="00A35FFA" w:rsidRDefault="00A35FFA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A35FFA">
        <w:rPr>
          <w:rFonts w:ascii="Times New Roman" w:hAnsi="Times New Roman" w:cs="Times New Roman"/>
          <w:sz w:val="18"/>
          <w:szCs w:val="18"/>
        </w:rPr>
        <w:t>НА ТЕПЛОВУЮ ЭНЕРГИЮ, ПОСТАВЛЯЕМУЮ ПОТРЕБИТЕЛЯМ</w:t>
      </w:r>
    </w:p>
    <w:p w:rsidR="00A35FFA" w:rsidRPr="00A35FFA" w:rsidRDefault="00A35FF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35FFA" w:rsidRPr="00A35FFA" w:rsidRDefault="00A35FFA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A35FFA">
        <w:rPr>
          <w:rFonts w:ascii="Times New Roman" w:hAnsi="Times New Roman" w:cs="Times New Roman"/>
          <w:sz w:val="18"/>
          <w:szCs w:val="18"/>
        </w:rPr>
        <w:t>(НДС не облагаются в связи с применением упрощенной системы налогообложения)</w:t>
      </w:r>
    </w:p>
    <w:p w:rsidR="00A35FFA" w:rsidRPr="00A35FFA" w:rsidRDefault="00A35FF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2"/>
        <w:gridCol w:w="1522"/>
        <w:gridCol w:w="887"/>
        <w:gridCol w:w="1776"/>
        <w:gridCol w:w="647"/>
        <w:gridCol w:w="533"/>
        <w:gridCol w:w="533"/>
        <w:gridCol w:w="608"/>
        <w:gridCol w:w="571"/>
        <w:gridCol w:w="1256"/>
      </w:tblGrid>
      <w:tr w:rsidR="00A35FFA" w:rsidRPr="00A35FFA" w:rsidTr="00A35FFA">
        <w:trPr>
          <w:trHeight w:val="114"/>
        </w:trPr>
        <w:tc>
          <w:tcPr>
            <w:tcW w:w="76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2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887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Вид тарифа</w:t>
            </w:r>
          </w:p>
        </w:tc>
        <w:tc>
          <w:tcPr>
            <w:tcW w:w="1776" w:type="dxa"/>
            <w:vMerge w:val="restart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647" w:type="dxa"/>
            <w:vMerge w:val="restart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Вода</w:t>
            </w:r>
          </w:p>
        </w:tc>
        <w:tc>
          <w:tcPr>
            <w:tcW w:w="2245" w:type="dxa"/>
            <w:gridSpan w:val="4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Отборный пар давлением</w:t>
            </w:r>
          </w:p>
        </w:tc>
        <w:tc>
          <w:tcPr>
            <w:tcW w:w="1256" w:type="dxa"/>
            <w:vMerge w:val="restart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Острый и редуцированный пар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:rsidR="00A35FFA" w:rsidRPr="0040345C" w:rsidRDefault="00A35FFA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</w:tcPr>
          <w:p w:rsidR="00A35FFA" w:rsidRPr="0040345C" w:rsidRDefault="00A35FFA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от 1,2 до 2,5 кг/см</w:t>
            </w:r>
            <w:proofErr w:type="gramStart"/>
            <w:r w:rsidRPr="0040345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от 2,5 до 7,0 кг/см</w:t>
            </w:r>
            <w:proofErr w:type="gramStart"/>
            <w:r w:rsidRPr="0040345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от 7,0 до 13,0 кг/см</w:t>
            </w:r>
            <w:proofErr w:type="gramStart"/>
            <w:r w:rsidRPr="0040345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свыше 13,0 кг/см</w:t>
            </w:r>
            <w:proofErr w:type="gramStart"/>
            <w:r w:rsidRPr="0040345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256" w:type="dxa"/>
            <w:vMerge/>
          </w:tcPr>
          <w:p w:rsidR="00A35FFA" w:rsidRPr="0040345C" w:rsidRDefault="00A35FFA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"Кезское предприятие коммунального хозяйства" (системы теплоснабжения, расположенные в Удмуртской Республике, муниципальном образовании "Муниципальный округ Кезский район Удмуртской Республики", п. Кез (кроме системы теплоснабжения от котельной по адресу: ул. Верещагина, д. 10), с. Чепца, с. Кулига, с. Полом, с.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Поломское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Пужмезь, д. Новый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Унтем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6811" w:type="dxa"/>
            <w:gridSpan w:val="8"/>
          </w:tcPr>
          <w:p w:rsidR="00A35FFA" w:rsidRPr="0040345C" w:rsidRDefault="00A35FFA" w:rsidP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Для потребителей в случае отсутствия дифференциации тарифов по схеме подключения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2399,88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2481,48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2481,48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2374,46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2374,46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2693,68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2740,21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1" w:type="dxa"/>
            <w:gridSpan w:val="8"/>
          </w:tcPr>
          <w:p w:rsidR="00A35FFA" w:rsidRPr="0040345C" w:rsidRDefault="00A35FF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Население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2399,88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2481,48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2481,48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2374,46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2374,46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2693,68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2590,80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2740,21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22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Общество с ограниченной ответственностью "Кезское предприятие коммунального хозяйства" (системы теплоснабжения, расположенные в Удмуртской Республике, муниципальном образовании "Муниципальный округ Кезский район Удмуртской Республики", п. Кез (система теплоснабжения от котельной по адресу ул. Верещагина, д. 10), с. Кабалуд, с.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Александрово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поч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Пажман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Старая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Гыя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Желтопи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д. Степаненки)</w:t>
            </w:r>
            <w:proofErr w:type="gramEnd"/>
          </w:p>
        </w:tc>
        <w:tc>
          <w:tcPr>
            <w:tcW w:w="6811" w:type="dxa"/>
            <w:gridSpan w:val="8"/>
          </w:tcPr>
          <w:p w:rsidR="00A35FFA" w:rsidRPr="0040345C" w:rsidRDefault="00A35FF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Для потребителей в случае отсутствия дифференциации тарифов по схеме подключения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4198,09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4351,71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4351,71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4405,42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4405,42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4711,76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4701,00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4703,25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4703,25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5074,37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1" w:type="dxa"/>
            <w:gridSpan w:val="8"/>
          </w:tcPr>
          <w:p w:rsidR="00A35FFA" w:rsidRPr="0040345C" w:rsidRDefault="00A35FF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Население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</w:tcPr>
          <w:p w:rsidR="00A35FFA" w:rsidRPr="00A35FFA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Одноставочный</w:t>
            </w:r>
            <w:proofErr w:type="spellEnd"/>
            <w:r w:rsidRPr="00A35FFA">
              <w:rPr>
                <w:rFonts w:ascii="Times New Roman" w:hAnsi="Times New Roman" w:cs="Times New Roman"/>
                <w:sz w:val="18"/>
                <w:szCs w:val="18"/>
              </w:rPr>
              <w:t>, руб./Гкал</w:t>
            </w: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5FFA" w:rsidRPr="00A35FFA" w:rsidTr="00A35FFA">
        <w:trPr>
          <w:trHeight w:val="114"/>
        </w:trPr>
        <w:tc>
          <w:tcPr>
            <w:tcW w:w="76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2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vMerge/>
          </w:tcPr>
          <w:p w:rsidR="00A35FFA" w:rsidRPr="00A35FFA" w:rsidRDefault="00A35FFA">
            <w:pPr>
              <w:spacing w:after="1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647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3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8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</w:tcPr>
          <w:p w:rsidR="00A35FFA" w:rsidRPr="0040345C" w:rsidRDefault="00A35F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4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0567D4" w:rsidRDefault="000567D4">
      <w:pPr>
        <w:rPr>
          <w:rFonts w:ascii="Times New Roman" w:hAnsi="Times New Roman" w:cs="Times New Roman"/>
          <w:sz w:val="18"/>
          <w:szCs w:val="18"/>
        </w:rPr>
      </w:pPr>
    </w:p>
    <w:p w:rsidR="001F11AA" w:rsidRDefault="001F11AA">
      <w:pPr>
        <w:rPr>
          <w:rFonts w:ascii="Times New Roman" w:hAnsi="Times New Roman" w:cs="Times New Roman"/>
          <w:sz w:val="18"/>
          <w:szCs w:val="18"/>
        </w:rPr>
      </w:pPr>
    </w:p>
    <w:p w:rsidR="001F11AA" w:rsidRDefault="001F11AA">
      <w:pPr>
        <w:rPr>
          <w:rFonts w:ascii="Times New Roman" w:hAnsi="Times New Roman" w:cs="Times New Roman"/>
          <w:sz w:val="18"/>
          <w:szCs w:val="18"/>
        </w:rPr>
      </w:pPr>
    </w:p>
    <w:p w:rsidR="001F11AA" w:rsidRDefault="001F11AA">
      <w:pPr>
        <w:rPr>
          <w:rFonts w:ascii="Times New Roman" w:hAnsi="Times New Roman" w:cs="Times New Roman"/>
          <w:sz w:val="18"/>
          <w:szCs w:val="18"/>
        </w:rPr>
      </w:pPr>
    </w:p>
    <w:p w:rsidR="001F11AA" w:rsidRDefault="001F11AA" w:rsidP="001F11AA">
      <w:pPr>
        <w:pStyle w:val="ConsPlusTitle"/>
        <w:jc w:val="center"/>
      </w:pPr>
      <w:r>
        <w:lastRenderedPageBreak/>
        <w:t>ДОЛГОСРОЧНЫЕ ПАРАМЕТРЫ</w:t>
      </w:r>
    </w:p>
    <w:p w:rsidR="001F11AA" w:rsidRDefault="001F11AA" w:rsidP="001F11AA">
      <w:pPr>
        <w:pStyle w:val="ConsPlusTitle"/>
        <w:jc w:val="center"/>
      </w:pPr>
      <w:r>
        <w:t>РЕГУЛИРОВАНИЯ, УСТАНАВЛИВАЕМЫЕ НА ДОЛГОСРОЧНЫЙ ПЕРИОД</w:t>
      </w:r>
    </w:p>
    <w:p w:rsidR="001F11AA" w:rsidRDefault="001F11AA" w:rsidP="001F11AA">
      <w:pPr>
        <w:pStyle w:val="ConsPlusTitle"/>
        <w:jc w:val="center"/>
      </w:pPr>
      <w:r>
        <w:t>РЕГУЛИРОВАНИЯ ДЛЯ ФОРМИРОВАНИЯ ТАРИФОВ С ИСПОЛЬЗОВАНИЕМ</w:t>
      </w:r>
    </w:p>
    <w:p w:rsidR="001F11AA" w:rsidRDefault="001F11AA" w:rsidP="001F11AA">
      <w:pPr>
        <w:pStyle w:val="ConsPlusTitle"/>
        <w:jc w:val="center"/>
      </w:pPr>
      <w:r>
        <w:t>МЕТОДА ИНДЕКСАЦИИ УСТАНОВЛЕННЫХ ТАРИФОВ</w:t>
      </w:r>
    </w:p>
    <w:p w:rsidR="001F11AA" w:rsidRDefault="001F11AA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8"/>
        <w:gridCol w:w="1173"/>
        <w:gridCol w:w="930"/>
        <w:gridCol w:w="1062"/>
        <w:gridCol w:w="1327"/>
        <w:gridCol w:w="1195"/>
        <w:gridCol w:w="2124"/>
        <w:gridCol w:w="1195"/>
      </w:tblGrid>
      <w:tr w:rsidR="001F11AA" w:rsidRPr="00373ABE" w:rsidTr="001F11AA">
        <w:trPr>
          <w:trHeight w:val="2592"/>
        </w:trPr>
        <w:tc>
          <w:tcPr>
            <w:tcW w:w="478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373ABE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73ABE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373ABE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173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Наименование регулируемой организации</w:t>
            </w:r>
          </w:p>
        </w:tc>
        <w:tc>
          <w:tcPr>
            <w:tcW w:w="930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Базовый уровень операционных расходов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Индекс эффективности операционных расходов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Нормативный уровень прибыли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Показатели энергосбережения энергетической эффективности: снижение удельного расхода электрической энергии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Динамика изменения расходов на топливо</w:t>
            </w:r>
          </w:p>
        </w:tc>
      </w:tr>
      <w:tr w:rsidR="001F11AA" w:rsidRPr="00373ABE" w:rsidTr="001F11AA">
        <w:trPr>
          <w:trHeight w:val="142"/>
        </w:trPr>
        <w:tc>
          <w:tcPr>
            <w:tcW w:w="47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73ABE">
              <w:rPr>
                <w:rFonts w:ascii="Times New Roman" w:hAnsi="Times New Roman" w:cs="Times New Roman"/>
                <w:sz w:val="20"/>
              </w:rPr>
              <w:t>кВт</w:t>
            </w:r>
            <w:proofErr w:type="gramStart"/>
            <w:r w:rsidRPr="00373ABE">
              <w:rPr>
                <w:rFonts w:ascii="Times New Roman" w:hAnsi="Times New Roman" w:cs="Times New Roman"/>
                <w:sz w:val="20"/>
              </w:rPr>
              <w:t>.ч</w:t>
            </w:r>
            <w:proofErr w:type="spellEnd"/>
            <w:proofErr w:type="gramEnd"/>
            <w:r w:rsidRPr="00373ABE">
              <w:rPr>
                <w:rFonts w:ascii="Times New Roman" w:hAnsi="Times New Roman" w:cs="Times New Roman"/>
                <w:sz w:val="20"/>
              </w:rPr>
              <w:t>/Гкал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11AA" w:rsidRPr="00373ABE" w:rsidTr="001F11AA">
        <w:trPr>
          <w:trHeight w:val="333"/>
        </w:trPr>
        <w:tc>
          <w:tcPr>
            <w:tcW w:w="478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73" w:type="dxa"/>
            <w:vMerge w:val="restart"/>
          </w:tcPr>
          <w:p w:rsidR="001F11AA" w:rsidRPr="00373ABE" w:rsidRDefault="001F11AA" w:rsidP="001F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373ABE">
              <w:rPr>
                <w:rFonts w:ascii="Times New Roman" w:hAnsi="Times New Roman" w:cs="Times New Roman"/>
                <w:sz w:val="20"/>
              </w:rPr>
              <w:t>Оператор коммунальных расчетов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93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368,27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15,21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2"/>
        </w:trPr>
        <w:tc>
          <w:tcPr>
            <w:tcW w:w="47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13,81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2"/>
        </w:trPr>
        <w:tc>
          <w:tcPr>
            <w:tcW w:w="47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13,31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2"/>
        </w:trPr>
        <w:tc>
          <w:tcPr>
            <w:tcW w:w="47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2"/>
        </w:trPr>
        <w:tc>
          <w:tcPr>
            <w:tcW w:w="47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1062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32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4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95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1F11AA" w:rsidRPr="00373ABE" w:rsidRDefault="001F11AA" w:rsidP="001F11A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1F11AA" w:rsidRPr="00373ABE" w:rsidRDefault="001F11AA" w:rsidP="001F11A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1F11AA" w:rsidRPr="001F11AA" w:rsidRDefault="001F11AA" w:rsidP="001F11AA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F11AA">
        <w:rPr>
          <w:rFonts w:ascii="Times New Roman" w:hAnsi="Times New Roman" w:cs="Times New Roman"/>
          <w:sz w:val="20"/>
        </w:rPr>
        <w:t>ТАРИФЫ</w:t>
      </w:r>
    </w:p>
    <w:p w:rsidR="001F11AA" w:rsidRPr="001F11AA" w:rsidRDefault="001F11AA" w:rsidP="001F11AA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F11AA">
        <w:rPr>
          <w:rFonts w:ascii="Times New Roman" w:hAnsi="Times New Roman" w:cs="Times New Roman"/>
          <w:sz w:val="20"/>
        </w:rPr>
        <w:t>НА ТЕПЛОВУЮ ЭНЕРГИЮ, ПОСТАВЛЯЕМУЮ ПОТРЕБИТЕЛЯМ</w:t>
      </w:r>
    </w:p>
    <w:p w:rsidR="001F11AA" w:rsidRPr="001F11AA" w:rsidRDefault="001F11AA" w:rsidP="001F11A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F11AA">
        <w:rPr>
          <w:rFonts w:ascii="Times New Roman" w:hAnsi="Times New Roman" w:cs="Times New Roman"/>
          <w:sz w:val="20"/>
          <w:szCs w:val="20"/>
        </w:rPr>
        <w:t>(НДС не облагаются в связи с применением упрощенной системы налогообложения</w:t>
      </w:r>
      <w:proofErr w:type="gramEnd"/>
    </w:p>
    <w:p w:rsidR="001F11AA" w:rsidRDefault="001F11AA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275"/>
        <w:gridCol w:w="868"/>
        <w:gridCol w:w="1009"/>
        <w:gridCol w:w="1110"/>
        <w:gridCol w:w="1009"/>
        <w:gridCol w:w="807"/>
        <w:gridCol w:w="908"/>
        <w:gridCol w:w="807"/>
        <w:gridCol w:w="79"/>
        <w:gridCol w:w="729"/>
      </w:tblGrid>
      <w:tr w:rsidR="001F11AA" w:rsidRPr="00373ABE" w:rsidTr="001F11AA">
        <w:trPr>
          <w:trHeight w:val="144"/>
        </w:trPr>
        <w:tc>
          <w:tcPr>
            <w:tcW w:w="426" w:type="dxa"/>
            <w:vMerge w:val="restart"/>
          </w:tcPr>
          <w:p w:rsidR="001F11AA" w:rsidRPr="00373ABE" w:rsidRDefault="001F11AA" w:rsidP="001F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373ABE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373ABE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373ABE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868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Вид тарифа</w:t>
            </w:r>
          </w:p>
        </w:tc>
        <w:tc>
          <w:tcPr>
            <w:tcW w:w="1009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10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Вода</w:t>
            </w:r>
          </w:p>
        </w:tc>
        <w:tc>
          <w:tcPr>
            <w:tcW w:w="2724" w:type="dxa"/>
            <w:gridSpan w:val="3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Отборный пар давлением</w:t>
            </w:r>
          </w:p>
        </w:tc>
        <w:tc>
          <w:tcPr>
            <w:tcW w:w="1615" w:type="dxa"/>
            <w:gridSpan w:val="3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Острый и редуцированный пар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от 1,2 до 2,5 кг/см</w:t>
            </w:r>
            <w:proofErr w:type="gramStart"/>
            <w:r w:rsidRPr="00373AB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от 2,5 до 7,0 кг/см</w:t>
            </w:r>
            <w:proofErr w:type="gramStart"/>
            <w:r w:rsidRPr="00373AB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от 7,0 до 13,0 кг/см</w:t>
            </w:r>
            <w:proofErr w:type="gramStart"/>
            <w:r w:rsidRPr="00373AB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свыше 13,0 кг/см</w:t>
            </w:r>
            <w:proofErr w:type="gramStart"/>
            <w:r w:rsidRPr="00373AB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 w:val="restart"/>
          </w:tcPr>
          <w:p w:rsidR="001F11AA" w:rsidRPr="00373ABE" w:rsidRDefault="001F11AA" w:rsidP="001F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5" w:type="dxa"/>
            <w:vMerge w:val="restart"/>
          </w:tcPr>
          <w:p w:rsidR="001F11AA" w:rsidRPr="00373ABE" w:rsidRDefault="001F11AA" w:rsidP="001F11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3ABE">
              <w:rPr>
                <w:rFonts w:ascii="Times New Roman" w:hAnsi="Times New Roman" w:cs="Times New Roman"/>
                <w:sz w:val="18"/>
                <w:szCs w:val="18"/>
              </w:rPr>
              <w:t>Общество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ограниченной ответственностью «</w:t>
            </w:r>
            <w:r w:rsidRPr="00373ABE">
              <w:rPr>
                <w:rFonts w:ascii="Times New Roman" w:hAnsi="Times New Roman" w:cs="Times New Roman"/>
                <w:sz w:val="18"/>
                <w:szCs w:val="18"/>
              </w:rPr>
              <w:t>Оператор коммунальных расчетов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326" w:type="dxa"/>
            <w:gridSpan w:val="9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Для потребителей в случае отсутствия дифференциации тарифов по схеме подключения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73ABE">
              <w:rPr>
                <w:rFonts w:ascii="Times New Roman" w:hAnsi="Times New Roman" w:cs="Times New Roman"/>
                <w:sz w:val="20"/>
              </w:rPr>
              <w:t>Одноставочный</w:t>
            </w:r>
            <w:proofErr w:type="spellEnd"/>
            <w:r w:rsidRPr="00373ABE">
              <w:rPr>
                <w:rFonts w:ascii="Times New Roman" w:hAnsi="Times New Roman" w:cs="Times New Roman"/>
                <w:sz w:val="20"/>
              </w:rPr>
              <w:t>, руб./Гкал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01.01.2021 по 30.06.2021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2996,40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01.07.2021 по 31.12.2021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3134,07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3134,07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3264,86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 xml:space="preserve">с 01.01.2023 </w:t>
            </w:r>
            <w:r w:rsidRPr="00373A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30.06.2023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lastRenderedPageBreak/>
              <w:t>3130,26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3277,44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3270,00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3272,46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3272,46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3432,19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8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6" w:type="dxa"/>
            <w:gridSpan w:val="9"/>
          </w:tcPr>
          <w:p w:rsidR="001F11AA" w:rsidRPr="00373ABE" w:rsidRDefault="001F11AA" w:rsidP="00352D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Население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73ABE">
              <w:rPr>
                <w:rFonts w:ascii="Times New Roman" w:hAnsi="Times New Roman" w:cs="Times New Roman"/>
                <w:sz w:val="20"/>
              </w:rPr>
              <w:t>Одноставочный</w:t>
            </w:r>
            <w:proofErr w:type="spellEnd"/>
            <w:r w:rsidRPr="00373ABE">
              <w:rPr>
                <w:rFonts w:ascii="Times New Roman" w:hAnsi="Times New Roman" w:cs="Times New Roman"/>
                <w:sz w:val="20"/>
              </w:rPr>
              <w:t>, руб./Гкал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01.01.2021 по 30.06.2021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01.07.2021 по 31.12.2021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F11AA" w:rsidRPr="00373ABE" w:rsidTr="001F11AA">
        <w:trPr>
          <w:trHeight w:val="144"/>
        </w:trPr>
        <w:tc>
          <w:tcPr>
            <w:tcW w:w="426" w:type="dxa"/>
            <w:vMerge/>
          </w:tcPr>
          <w:p w:rsidR="001F11AA" w:rsidRPr="00373ABE" w:rsidRDefault="001F11AA" w:rsidP="001F11AA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1F11AA" w:rsidRPr="00373ABE" w:rsidRDefault="001F11AA" w:rsidP="00352DA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3ABE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1110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0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07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08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86" w:type="dxa"/>
            <w:gridSpan w:val="2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9" w:type="dxa"/>
          </w:tcPr>
          <w:p w:rsidR="001F11AA" w:rsidRPr="00373ABE" w:rsidRDefault="001F11AA" w:rsidP="00352D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73ABE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1F11AA" w:rsidRDefault="001F11AA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D" w:rsidRDefault="00DB4F1D" w:rsidP="00DB4F1D">
      <w:pPr>
        <w:pStyle w:val="ConsPlusTitle"/>
        <w:jc w:val="center"/>
      </w:pPr>
      <w:r>
        <w:lastRenderedPageBreak/>
        <w:t>ДОЛГОСРОЧНЫЕ ПАРАМЕТРЫ</w:t>
      </w:r>
    </w:p>
    <w:p w:rsidR="00DB4F1D" w:rsidRDefault="00DB4F1D" w:rsidP="00DB4F1D">
      <w:pPr>
        <w:pStyle w:val="ConsPlusTitle"/>
        <w:jc w:val="center"/>
      </w:pPr>
      <w:r>
        <w:t>РЕГУЛИРОВАНИЯ, УСТАНАВЛИВАЕМЫЕ НА ДОЛГОСРОЧНЫЙ ПЕРИОД</w:t>
      </w:r>
    </w:p>
    <w:p w:rsidR="00DB4F1D" w:rsidRDefault="00DB4F1D" w:rsidP="00DB4F1D">
      <w:pPr>
        <w:pStyle w:val="ConsPlusTitle"/>
        <w:jc w:val="center"/>
      </w:pPr>
      <w:r>
        <w:t>РЕГУЛИРОВАНИЯ ДЛЯ ФОРМИРОВАНИЯ ТАРИФОВ С ИСПОЛЬЗОВАНИЕМ</w:t>
      </w:r>
    </w:p>
    <w:p w:rsidR="00DB4F1D" w:rsidRDefault="00DB4F1D" w:rsidP="00DB4F1D">
      <w:pPr>
        <w:pStyle w:val="ConsPlusTitle"/>
        <w:jc w:val="center"/>
      </w:pPr>
      <w:r>
        <w:t>МЕТОДА ИНДЕКСАЦИИ УСТАНОВЛЕННЫХ ТАРИФОВ</w:t>
      </w:r>
    </w:p>
    <w:p w:rsidR="00DB4F1D" w:rsidRDefault="00DB4F1D" w:rsidP="001F11A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"/>
        <w:gridCol w:w="1706"/>
        <w:gridCol w:w="848"/>
        <w:gridCol w:w="999"/>
        <w:gridCol w:w="1338"/>
        <w:gridCol w:w="1291"/>
        <w:gridCol w:w="1360"/>
        <w:gridCol w:w="1361"/>
      </w:tblGrid>
      <w:tr w:rsidR="00DB4F1D" w:rsidRPr="00DB4F1D" w:rsidTr="00DB4F1D">
        <w:trPr>
          <w:trHeight w:val="1232"/>
        </w:trPr>
        <w:tc>
          <w:tcPr>
            <w:tcW w:w="600" w:type="dxa"/>
            <w:vMerge w:val="restart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 xml:space="preserve">N </w:t>
            </w:r>
            <w:proofErr w:type="spellStart"/>
            <w:proofErr w:type="gramStart"/>
            <w:r w:rsidRPr="00DB4F1D">
              <w:rPr>
                <w:sz w:val="20"/>
              </w:rPr>
              <w:t>п</w:t>
            </w:r>
            <w:proofErr w:type="spellEnd"/>
            <w:proofErr w:type="gramEnd"/>
            <w:r w:rsidRPr="00DB4F1D">
              <w:rPr>
                <w:sz w:val="20"/>
              </w:rPr>
              <w:t>/</w:t>
            </w:r>
            <w:proofErr w:type="spellStart"/>
            <w:r w:rsidRPr="00DB4F1D">
              <w:rPr>
                <w:sz w:val="20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Наименование регулируемой организации</w:t>
            </w:r>
          </w:p>
        </w:tc>
        <w:tc>
          <w:tcPr>
            <w:tcW w:w="848" w:type="dxa"/>
            <w:vMerge w:val="restart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Год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Базовый уровень операционных расходов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Индекс эффективности операционных расходов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Нормативный уровень прибыли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Показатели энергосбережения энергетической эффективности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Динамика изменения расходов на топливо</w:t>
            </w:r>
          </w:p>
        </w:tc>
      </w:tr>
      <w:tr w:rsidR="00DB4F1D" w:rsidRPr="00DB4F1D" w:rsidTr="00DB4F1D">
        <w:trPr>
          <w:trHeight w:val="153"/>
        </w:trPr>
        <w:tc>
          <w:tcPr>
            <w:tcW w:w="600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тыс. руб.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%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%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rPr>
                <w:sz w:val="20"/>
              </w:rPr>
            </w:pPr>
          </w:p>
        </w:tc>
      </w:tr>
      <w:tr w:rsidR="00DB4F1D" w:rsidRPr="00DB4F1D" w:rsidTr="00DB4F1D">
        <w:trPr>
          <w:trHeight w:val="393"/>
        </w:trPr>
        <w:tc>
          <w:tcPr>
            <w:tcW w:w="600" w:type="dxa"/>
            <w:vMerge w:val="restart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</w:t>
            </w:r>
          </w:p>
        </w:tc>
        <w:tc>
          <w:tcPr>
            <w:tcW w:w="1706" w:type="dxa"/>
            <w:vMerge w:val="restart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ОАО "</w:t>
            </w:r>
            <w:proofErr w:type="spellStart"/>
            <w:r w:rsidRPr="00DB4F1D">
              <w:rPr>
                <w:sz w:val="20"/>
              </w:rPr>
              <w:t>Балезинское</w:t>
            </w:r>
            <w:proofErr w:type="spellEnd"/>
            <w:r w:rsidRPr="00DB4F1D">
              <w:rPr>
                <w:sz w:val="20"/>
              </w:rPr>
              <w:t xml:space="preserve"> РТП"</w:t>
            </w:r>
          </w:p>
        </w:tc>
        <w:tc>
          <w:tcPr>
            <w:tcW w:w="84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2022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1613,81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1,0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</w:tr>
      <w:tr w:rsidR="00DB4F1D" w:rsidRPr="00DB4F1D" w:rsidTr="00DB4F1D">
        <w:trPr>
          <w:trHeight w:val="153"/>
        </w:trPr>
        <w:tc>
          <w:tcPr>
            <w:tcW w:w="600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2023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1,0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</w:tr>
      <w:tr w:rsidR="00DB4F1D" w:rsidRPr="00DB4F1D" w:rsidTr="00DB4F1D">
        <w:trPr>
          <w:trHeight w:val="153"/>
        </w:trPr>
        <w:tc>
          <w:tcPr>
            <w:tcW w:w="600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2024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1,0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</w:tr>
      <w:tr w:rsidR="00DB4F1D" w:rsidRPr="00DB4F1D" w:rsidTr="00DB4F1D">
        <w:trPr>
          <w:trHeight w:val="153"/>
        </w:trPr>
        <w:tc>
          <w:tcPr>
            <w:tcW w:w="600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2025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1,0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</w:tr>
      <w:tr w:rsidR="00DB4F1D" w:rsidRPr="00DB4F1D" w:rsidTr="00DB4F1D">
        <w:trPr>
          <w:trHeight w:val="153"/>
        </w:trPr>
        <w:tc>
          <w:tcPr>
            <w:tcW w:w="600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B4F1D" w:rsidRPr="00DB4F1D" w:rsidRDefault="00DB4F1D" w:rsidP="002146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2026</w:t>
            </w:r>
          </w:p>
        </w:tc>
        <w:tc>
          <w:tcPr>
            <w:tcW w:w="999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38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1,0</w:t>
            </w:r>
          </w:p>
        </w:tc>
        <w:tc>
          <w:tcPr>
            <w:tcW w:w="129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0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  <w:tc>
          <w:tcPr>
            <w:tcW w:w="1361" w:type="dxa"/>
          </w:tcPr>
          <w:p w:rsidR="00DB4F1D" w:rsidRPr="00DB4F1D" w:rsidRDefault="00DB4F1D" w:rsidP="0021464A">
            <w:pPr>
              <w:pStyle w:val="ConsPlusNormal"/>
              <w:jc w:val="center"/>
              <w:rPr>
                <w:sz w:val="20"/>
              </w:rPr>
            </w:pPr>
            <w:r w:rsidRPr="00DB4F1D">
              <w:rPr>
                <w:sz w:val="20"/>
              </w:rPr>
              <w:t>-</w:t>
            </w:r>
          </w:p>
        </w:tc>
      </w:tr>
    </w:tbl>
    <w:p w:rsidR="00DB4F1D" w:rsidRDefault="00DB4F1D" w:rsidP="001F11A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B4F1D" w:rsidRDefault="00DB4F1D" w:rsidP="00DB4F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DB4F1D" w:rsidRPr="001F11AA" w:rsidRDefault="00DB4F1D" w:rsidP="00DB4F1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F11AA">
        <w:rPr>
          <w:rFonts w:ascii="Times New Roman" w:hAnsi="Times New Roman" w:cs="Times New Roman"/>
          <w:sz w:val="20"/>
        </w:rPr>
        <w:t>ТАРИФЫ</w:t>
      </w:r>
    </w:p>
    <w:p w:rsidR="00DB4F1D" w:rsidRPr="001F11AA" w:rsidRDefault="00DB4F1D" w:rsidP="00DB4F1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F11AA">
        <w:rPr>
          <w:rFonts w:ascii="Times New Roman" w:hAnsi="Times New Roman" w:cs="Times New Roman"/>
          <w:sz w:val="20"/>
        </w:rPr>
        <w:t>НА ТЕПЛОВУЮ ЭНЕРГИЮ, ПОСТАВЛЯЕМУЮ ПОТРЕБИТЕЛЯМ</w:t>
      </w:r>
    </w:p>
    <w:p w:rsidR="00DB4F1D" w:rsidRPr="001F11AA" w:rsidRDefault="00DB4F1D" w:rsidP="00DB4F1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F11AA">
        <w:rPr>
          <w:rFonts w:ascii="Times New Roman" w:hAnsi="Times New Roman" w:cs="Times New Roman"/>
          <w:sz w:val="20"/>
          <w:szCs w:val="20"/>
        </w:rPr>
        <w:t>(НДС не облагаются в связи с применением упрощенной системы налогообложения</w:t>
      </w:r>
      <w:proofErr w:type="gramEnd"/>
    </w:p>
    <w:p w:rsidR="00DB4F1D" w:rsidRDefault="00DB4F1D" w:rsidP="001F11AA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2"/>
        <w:gridCol w:w="1571"/>
        <w:gridCol w:w="885"/>
        <w:gridCol w:w="1351"/>
        <w:gridCol w:w="979"/>
        <w:gridCol w:w="652"/>
        <w:gridCol w:w="652"/>
        <w:gridCol w:w="699"/>
        <w:gridCol w:w="746"/>
        <w:gridCol w:w="1112"/>
      </w:tblGrid>
      <w:tr w:rsidR="00DB4F1D" w:rsidRPr="00DB4F1D" w:rsidTr="00DB4F1D">
        <w:trPr>
          <w:trHeight w:val="144"/>
        </w:trPr>
        <w:tc>
          <w:tcPr>
            <w:tcW w:w="572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DB4F1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DB4F1D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DB4F1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571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Наименование регулируемой организации</w:t>
            </w:r>
          </w:p>
        </w:tc>
        <w:tc>
          <w:tcPr>
            <w:tcW w:w="885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Вид тарифа</w:t>
            </w:r>
          </w:p>
        </w:tc>
        <w:tc>
          <w:tcPr>
            <w:tcW w:w="1351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979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Вода</w:t>
            </w:r>
          </w:p>
        </w:tc>
        <w:tc>
          <w:tcPr>
            <w:tcW w:w="2749" w:type="dxa"/>
            <w:gridSpan w:val="4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Отборный пар давлением</w:t>
            </w:r>
          </w:p>
        </w:tc>
        <w:tc>
          <w:tcPr>
            <w:tcW w:w="1112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Острый и редуцированный пар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от 1,2 до 2,5 кг/см</w:t>
            </w:r>
            <w:proofErr w:type="gramStart"/>
            <w:r w:rsidRPr="00DB4F1D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от 2,5 до 7,0 кг/см</w:t>
            </w:r>
            <w:proofErr w:type="gramStart"/>
            <w:r w:rsidRPr="00DB4F1D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от 7,0 до 13,0 кг/см</w:t>
            </w:r>
            <w:proofErr w:type="gramStart"/>
            <w:r w:rsidRPr="00DB4F1D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свыше 13,0 кг/см</w:t>
            </w:r>
            <w:proofErr w:type="gramStart"/>
            <w:r w:rsidRPr="00DB4F1D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11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B4F1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71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ОАО "</w:t>
            </w:r>
            <w:proofErr w:type="spellStart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Балезинское</w:t>
            </w:r>
            <w:proofErr w:type="spellEnd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 РТП"</w:t>
            </w:r>
          </w:p>
        </w:tc>
        <w:tc>
          <w:tcPr>
            <w:tcW w:w="885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Одноставочный</w:t>
            </w:r>
            <w:proofErr w:type="spellEnd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, руб./Гкал</w:t>
            </w: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1442,02 </w:t>
            </w:r>
            <w:hyperlink w:anchor="P270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1491,05 </w:t>
            </w:r>
            <w:hyperlink w:anchor="P270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1491,05 </w:t>
            </w:r>
            <w:hyperlink w:anchor="P271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1536,95 </w:t>
            </w:r>
            <w:hyperlink w:anchor="P271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1536,95 </w:t>
            </w:r>
            <w:hyperlink w:anchor="P272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1589,15 </w:t>
            </w:r>
            <w:hyperlink w:anchor="P272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1589,15 </w:t>
            </w:r>
            <w:hyperlink w:anchor="P273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с 01.07.2025 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1641,08 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425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4F1D" w:rsidRPr="00DB4F1D" w:rsidTr="00DB4F1D">
        <w:trPr>
          <w:trHeight w:val="229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4F1D" w:rsidRPr="00DB4F1D" w:rsidTr="00DB4F1D">
        <w:trPr>
          <w:trHeight w:val="655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по 31.12.2025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273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1641,08 </w:t>
            </w:r>
            <w:hyperlink w:anchor="P274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1695,59 </w:t>
            </w:r>
            <w:hyperlink w:anchor="P274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6" w:type="dxa"/>
            <w:gridSpan w:val="8"/>
          </w:tcPr>
          <w:p w:rsidR="00DB4F1D" w:rsidRPr="00DB4F1D" w:rsidRDefault="00DB4F1D" w:rsidP="00DB4F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Население (тарифы указываются с учетом НДС) </w:t>
            </w:r>
            <w:hyperlink w:anchor="P269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 w:val="restart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Одноставочный</w:t>
            </w:r>
            <w:proofErr w:type="spellEnd"/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, руб./Гкал</w:t>
            </w: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01.01.2022 по 30.06.2022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1730,42 </w:t>
            </w:r>
            <w:hyperlink w:anchor="P270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01.07.2022 по 31.12.2022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1789,26 </w:t>
            </w:r>
            <w:hyperlink w:anchor="P270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01.01.2023 по 30.06.2023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1789,26 </w:t>
            </w:r>
            <w:hyperlink w:anchor="P271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01.07.2023 по 31.12.2023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1844,34 </w:t>
            </w:r>
            <w:hyperlink w:anchor="P271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01.01.2024 по 30.06.2024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1844,34 </w:t>
            </w:r>
            <w:hyperlink w:anchor="P272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01.07.2024 по 31.12.2024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1906,98 </w:t>
            </w:r>
            <w:hyperlink w:anchor="P272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01.01.2025 по 30.06.2025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1906,98 </w:t>
            </w:r>
            <w:hyperlink w:anchor="P273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01.07.2025 по 31.12.2025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1969,30 </w:t>
            </w:r>
            <w:hyperlink w:anchor="P273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01.01.2026 по 30.06.2026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1969,30 </w:t>
            </w:r>
            <w:hyperlink w:anchor="P274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4F1D" w:rsidRPr="00DB4F1D" w:rsidTr="00DB4F1D">
        <w:trPr>
          <w:trHeight w:val="144"/>
        </w:trPr>
        <w:tc>
          <w:tcPr>
            <w:tcW w:w="572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:rsidR="00DB4F1D" w:rsidRPr="00DB4F1D" w:rsidRDefault="00DB4F1D" w:rsidP="00DB4F1D">
            <w:pPr>
              <w:spacing w:after="1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с 01.07.2026 по 31.12.2026</w:t>
            </w:r>
          </w:p>
        </w:tc>
        <w:tc>
          <w:tcPr>
            <w:tcW w:w="97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 xml:space="preserve">2034,71 </w:t>
            </w:r>
            <w:hyperlink w:anchor="P274" w:history="1">
              <w:r w:rsidRPr="00DB4F1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&lt;******&gt;</w:t>
              </w:r>
            </w:hyperlink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5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6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DB4F1D" w:rsidRPr="00DB4F1D" w:rsidRDefault="00DB4F1D" w:rsidP="00DB4F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F1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DB4F1D">
        <w:rPr>
          <w:rFonts w:ascii="Times New Roman" w:hAnsi="Times New Roman" w:cs="Times New Roman"/>
          <w:sz w:val="18"/>
          <w:szCs w:val="18"/>
        </w:rPr>
        <w:t xml:space="preserve">&lt;*&gt; Выделяется в целях реализации </w:t>
      </w:r>
      <w:hyperlink r:id="rId4" w:history="1">
        <w:r w:rsidRPr="00DB4F1D">
          <w:rPr>
            <w:rFonts w:ascii="Times New Roman" w:hAnsi="Times New Roman" w:cs="Times New Roman"/>
            <w:color w:val="0000FF"/>
            <w:sz w:val="18"/>
            <w:szCs w:val="18"/>
          </w:rPr>
          <w:t>пункта 6 статьи 168</w:t>
        </w:r>
      </w:hyperlink>
      <w:r w:rsidRPr="00DB4F1D">
        <w:rPr>
          <w:rFonts w:ascii="Times New Roman" w:hAnsi="Times New Roman" w:cs="Times New Roman"/>
          <w:sz w:val="18"/>
          <w:szCs w:val="18"/>
        </w:rPr>
        <w:t xml:space="preserve"> Налогового кодекса Российской Федерации (часть вторая).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2" w:name="P270"/>
      <w:bookmarkEnd w:id="2"/>
      <w:r w:rsidRPr="00DB4F1D">
        <w:rPr>
          <w:rFonts w:ascii="Times New Roman" w:hAnsi="Times New Roman" w:cs="Times New Roman"/>
          <w:sz w:val="18"/>
          <w:szCs w:val="18"/>
        </w:rPr>
        <w:t>&lt;**&gt; В том числе расходы на топливо: с 01.01.2022 по 30.06.2022 - 725,65 руб./Гкал, с 01.07.2022 по 31.12.2022 - 751,05 руб./Гкал.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3" w:name="P271"/>
      <w:bookmarkEnd w:id="3"/>
      <w:r w:rsidRPr="00DB4F1D">
        <w:rPr>
          <w:rFonts w:ascii="Times New Roman" w:hAnsi="Times New Roman" w:cs="Times New Roman"/>
          <w:sz w:val="18"/>
          <w:szCs w:val="18"/>
        </w:rPr>
        <w:t>&lt;***&gt; В том числе расходы на топливо: с 01.01.2023 по 30.06.2023 - 751,05 руб./Гкал, с 01.07.2023 по 31.12.2023 - 777,34 руб./Гкал.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4" w:name="P272"/>
      <w:bookmarkEnd w:id="4"/>
      <w:r w:rsidRPr="00DB4F1D">
        <w:rPr>
          <w:rFonts w:ascii="Times New Roman" w:hAnsi="Times New Roman" w:cs="Times New Roman"/>
          <w:sz w:val="18"/>
          <w:szCs w:val="18"/>
        </w:rPr>
        <w:t>&lt;****&gt; В том числе расходы на топливо: с 01.01.2024 по 30.06.2024 - 777,34 руб./Гкал, с 01.07.2024 по 31.12.2024 - 804,54 руб./Гкал.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5" w:name="P273"/>
      <w:bookmarkEnd w:id="5"/>
      <w:r w:rsidRPr="00DB4F1D">
        <w:rPr>
          <w:rFonts w:ascii="Times New Roman" w:hAnsi="Times New Roman" w:cs="Times New Roman"/>
          <w:sz w:val="18"/>
          <w:szCs w:val="18"/>
        </w:rPr>
        <w:t>&lt;*****&gt; В том числе расходы на топливо: с 01.01.2025 по 30.06.2025 - 804,54 руб./Гкал, с 01.07.2025 по 31.12.2025 - 832,70 руб./Гкал.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6" w:name="P274"/>
      <w:bookmarkEnd w:id="6"/>
      <w:r w:rsidRPr="00DB4F1D">
        <w:rPr>
          <w:rFonts w:ascii="Times New Roman" w:hAnsi="Times New Roman" w:cs="Times New Roman"/>
          <w:sz w:val="18"/>
          <w:szCs w:val="18"/>
        </w:rPr>
        <w:t>&lt;******&gt; В том числе расходы на топливо: с 01.01.2026 по 30.06.2026 - 832,70 руб./Гкал, с 01.07.2026 по 31.12.2026 - 861,85 руб./Гкал.</w:t>
      </w:r>
    </w:p>
    <w:p w:rsidR="00DB4F1D" w:rsidRPr="00DB4F1D" w:rsidRDefault="00DB4F1D" w:rsidP="00DB4F1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B4F1D" w:rsidRPr="00DB4F1D" w:rsidRDefault="00DB4F1D" w:rsidP="001F11AA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DB4F1D" w:rsidRPr="00DB4F1D" w:rsidSect="00A35FFA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5FFA"/>
    <w:rsid w:val="000567D4"/>
    <w:rsid w:val="001F11AA"/>
    <w:rsid w:val="0040345C"/>
    <w:rsid w:val="0084433D"/>
    <w:rsid w:val="00A35FFA"/>
    <w:rsid w:val="00BE64C0"/>
    <w:rsid w:val="00DB4F1D"/>
    <w:rsid w:val="00F50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5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5F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C3E315274CC475ED50F23F5CEB0B6ACFD93164BE3332EAF48D1B39544016B68FA00911AB526AC7C0812FB68911491F430ADC09880BAEAeAv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2022-06-14T11:30:00Z</dcterms:created>
  <dcterms:modified xsi:type="dcterms:W3CDTF">2022-06-17T10:01:00Z</dcterms:modified>
</cp:coreProperties>
</file>